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31" w:rsidRPr="007E78BE" w:rsidRDefault="00B04C31" w:rsidP="00B04C31">
      <w:pPr>
        <w:pStyle w:val="Titolo4"/>
        <w:rPr>
          <w:bCs w:val="0"/>
        </w:rPr>
      </w:pPr>
      <w:r w:rsidRPr="007E78BE">
        <w:rPr>
          <w:bCs w:val="0"/>
        </w:rPr>
        <w:t>Comunicato stampa</w:t>
      </w:r>
    </w:p>
    <w:p w:rsidR="00B04C31" w:rsidRDefault="00B04C31" w:rsidP="00B04C31">
      <w:pPr>
        <w:jc w:val="center"/>
        <w:rPr>
          <w:u w:val="single"/>
        </w:rPr>
      </w:pPr>
    </w:p>
    <w:p w:rsidR="00B04C31" w:rsidRDefault="00B04C31" w:rsidP="00B04C31">
      <w:pPr>
        <w:jc w:val="center"/>
        <w:rPr>
          <w:u w:val="single"/>
        </w:rPr>
      </w:pPr>
      <w:r w:rsidRPr="007E78BE">
        <w:rPr>
          <w:u w:val="single"/>
        </w:rPr>
        <w:t>Il C</w:t>
      </w:r>
      <w:r w:rsidR="00B7164D">
        <w:rPr>
          <w:u w:val="single"/>
        </w:rPr>
        <w:t xml:space="preserve">da </w:t>
      </w:r>
      <w:r w:rsidRPr="007E78BE">
        <w:rPr>
          <w:u w:val="single"/>
        </w:rPr>
        <w:t xml:space="preserve">ha approvato </w:t>
      </w:r>
      <w:r w:rsidR="00B7164D">
        <w:rPr>
          <w:u w:val="single"/>
        </w:rPr>
        <w:t>il Resoconto Intermedio di Gestione al 30 settembre 202</w:t>
      </w:r>
      <w:r w:rsidR="00C76DDD">
        <w:rPr>
          <w:u w:val="single"/>
        </w:rPr>
        <w:t>3</w:t>
      </w:r>
    </w:p>
    <w:p w:rsidR="00B04C31" w:rsidRPr="007E78BE" w:rsidRDefault="00B04C31" w:rsidP="00B04C31">
      <w:pPr>
        <w:jc w:val="center"/>
        <w:rPr>
          <w:u w:val="single"/>
        </w:rPr>
      </w:pPr>
    </w:p>
    <w:p w:rsidR="00B04C31" w:rsidRPr="00B04C31" w:rsidRDefault="00B04C31" w:rsidP="00B04C31">
      <w:pPr>
        <w:pStyle w:val="Titolo1"/>
        <w:rPr>
          <w:bCs w:val="0"/>
          <w:sz w:val="26"/>
          <w:szCs w:val="26"/>
        </w:rPr>
      </w:pPr>
      <w:r w:rsidRPr="00B04C31">
        <w:rPr>
          <w:bCs w:val="0"/>
          <w:sz w:val="26"/>
          <w:szCs w:val="26"/>
        </w:rPr>
        <w:t>Cembre (</w:t>
      </w:r>
      <w:proofErr w:type="spellStart"/>
      <w:r w:rsidR="00F353A1">
        <w:rPr>
          <w:bCs w:val="0"/>
          <w:sz w:val="26"/>
          <w:szCs w:val="26"/>
        </w:rPr>
        <w:t>Euronext</w:t>
      </w:r>
      <w:proofErr w:type="spellEnd"/>
      <w:r w:rsidR="00F353A1">
        <w:rPr>
          <w:bCs w:val="0"/>
          <w:sz w:val="26"/>
          <w:szCs w:val="26"/>
        </w:rPr>
        <w:t xml:space="preserve"> </w:t>
      </w:r>
      <w:r w:rsidRPr="00B04C31">
        <w:rPr>
          <w:bCs w:val="0"/>
          <w:sz w:val="26"/>
          <w:szCs w:val="26"/>
        </w:rPr>
        <w:t>STAR): ne</w:t>
      </w:r>
      <w:r w:rsidR="00B7164D">
        <w:rPr>
          <w:bCs w:val="0"/>
          <w:sz w:val="26"/>
          <w:szCs w:val="26"/>
        </w:rPr>
        <w:t>i primi nove mesi</w:t>
      </w:r>
      <w:r w:rsidRPr="00B04C31">
        <w:rPr>
          <w:bCs w:val="0"/>
          <w:sz w:val="26"/>
          <w:szCs w:val="26"/>
        </w:rPr>
        <w:t xml:space="preserve"> fattura</w:t>
      </w:r>
      <w:r w:rsidR="00F353A1">
        <w:rPr>
          <w:bCs w:val="0"/>
          <w:sz w:val="26"/>
          <w:szCs w:val="26"/>
        </w:rPr>
        <w:t xml:space="preserve">to consolidato in crescita </w:t>
      </w:r>
      <w:r w:rsidR="00B7164D">
        <w:rPr>
          <w:bCs w:val="0"/>
          <w:sz w:val="26"/>
          <w:szCs w:val="26"/>
        </w:rPr>
        <w:t>+</w:t>
      </w:r>
      <w:r w:rsidR="00C76DDD">
        <w:rPr>
          <w:bCs w:val="0"/>
          <w:sz w:val="26"/>
          <w:szCs w:val="26"/>
        </w:rPr>
        <w:t>13,5</w:t>
      </w:r>
      <w:r w:rsidRPr="00B04C31">
        <w:rPr>
          <w:bCs w:val="0"/>
          <w:sz w:val="26"/>
          <w:szCs w:val="26"/>
        </w:rPr>
        <w:t xml:space="preserve">% rispetto </w:t>
      </w:r>
      <w:r w:rsidR="00B7164D">
        <w:rPr>
          <w:bCs w:val="0"/>
          <w:sz w:val="26"/>
          <w:szCs w:val="26"/>
        </w:rPr>
        <w:t>ai primi nove mesi del</w:t>
      </w:r>
      <w:r w:rsidRPr="00B04C31">
        <w:rPr>
          <w:bCs w:val="0"/>
          <w:sz w:val="26"/>
          <w:szCs w:val="26"/>
        </w:rPr>
        <w:t xml:space="preserve"> 202</w:t>
      </w:r>
      <w:r w:rsidR="00C76DDD">
        <w:rPr>
          <w:bCs w:val="0"/>
          <w:sz w:val="26"/>
          <w:szCs w:val="26"/>
        </w:rPr>
        <w:t>2</w:t>
      </w:r>
    </w:p>
    <w:p w:rsidR="00B04C31" w:rsidRPr="0069369A" w:rsidRDefault="00B04C31" w:rsidP="00B04C31">
      <w:pPr>
        <w:jc w:val="both"/>
      </w:pPr>
    </w:p>
    <w:p w:rsidR="00B04C31" w:rsidRPr="0069369A" w:rsidRDefault="00B7164D" w:rsidP="00B04C31">
      <w:pPr>
        <w:numPr>
          <w:ilvl w:val="0"/>
          <w:numId w:val="2"/>
        </w:numPr>
        <w:spacing w:after="120"/>
        <w:ind w:left="425" w:hanging="425"/>
        <w:jc w:val="both"/>
      </w:pPr>
      <w:r>
        <w:t>Nei primi 9</w:t>
      </w:r>
      <w:r w:rsidR="00B04C31" w:rsidRPr="0069369A">
        <w:t xml:space="preserve"> mesi c</w:t>
      </w:r>
      <w:r w:rsidR="00B04C31">
        <w:t>rescono</w:t>
      </w:r>
      <w:r w:rsidR="00B04C31" w:rsidRPr="0069369A">
        <w:t xml:space="preserve"> le vendite</w:t>
      </w:r>
      <w:r w:rsidR="001D077E">
        <w:t xml:space="preserve"> del Gruppo</w:t>
      </w:r>
      <w:r w:rsidR="00B04C31" w:rsidRPr="0069369A">
        <w:t xml:space="preserve"> </w:t>
      </w:r>
      <w:r w:rsidR="00B04C31">
        <w:t xml:space="preserve">sia </w:t>
      </w:r>
      <w:r w:rsidR="00B04C31" w:rsidRPr="0069369A">
        <w:t>in Italia (</w:t>
      </w:r>
      <w:r w:rsidR="00F353A1">
        <w:t>+</w:t>
      </w:r>
      <w:r w:rsidR="00C76DDD">
        <w:t>14,9</w:t>
      </w:r>
      <w:r w:rsidR="00B04C31" w:rsidRPr="0069369A">
        <w:t xml:space="preserve">%) </w:t>
      </w:r>
      <w:r w:rsidR="00B04C31">
        <w:t>sia</w:t>
      </w:r>
      <w:r w:rsidR="00B04C31" w:rsidRPr="0069369A">
        <w:t xml:space="preserve"> all’estero (</w:t>
      </w:r>
      <w:r w:rsidR="00B04C31">
        <w:t>+</w:t>
      </w:r>
      <w:r w:rsidR="00C76DDD">
        <w:t>12,4</w:t>
      </w:r>
      <w:r w:rsidR="00B04C31" w:rsidRPr="0069369A">
        <w:t>%)</w:t>
      </w:r>
      <w:r w:rsidR="001D077E">
        <w:t xml:space="preserve"> rispetto all’analogo periodo del 202</w:t>
      </w:r>
      <w:r w:rsidR="00C76DDD">
        <w:t>2</w:t>
      </w:r>
    </w:p>
    <w:p w:rsidR="00B04C31" w:rsidRPr="0069369A" w:rsidRDefault="00B04C31" w:rsidP="00B04C31">
      <w:pPr>
        <w:numPr>
          <w:ilvl w:val="0"/>
          <w:numId w:val="2"/>
        </w:numPr>
        <w:spacing w:after="120"/>
        <w:ind w:left="425" w:hanging="425"/>
        <w:jc w:val="both"/>
      </w:pPr>
      <w:r>
        <w:t xml:space="preserve">Utile ante imposte pari al </w:t>
      </w:r>
      <w:r w:rsidR="00C76DDD">
        <w:t>25,5</w:t>
      </w:r>
      <w:r>
        <w:t xml:space="preserve">% dei ricavi (in crescita del </w:t>
      </w:r>
      <w:r w:rsidR="00C76DDD">
        <w:t>31,0</w:t>
      </w:r>
      <w:r>
        <w:t>% rispetto al 202</w:t>
      </w:r>
      <w:r w:rsidR="00C76DDD">
        <w:t>2</w:t>
      </w:r>
      <w:r>
        <w:t>)</w:t>
      </w:r>
    </w:p>
    <w:p w:rsidR="00B04C31" w:rsidRPr="005B5CB9" w:rsidRDefault="00F73D6C" w:rsidP="00B04C31">
      <w:pPr>
        <w:numPr>
          <w:ilvl w:val="0"/>
          <w:numId w:val="2"/>
        </w:numPr>
        <w:spacing w:after="120"/>
        <w:ind w:left="425" w:hanging="425"/>
        <w:jc w:val="both"/>
      </w:pPr>
      <w:r w:rsidRPr="001C7E08">
        <w:t xml:space="preserve">Al 31 ottobre </w:t>
      </w:r>
      <w:r w:rsidR="00B04C31" w:rsidRPr="001C7E08">
        <w:t>202</w:t>
      </w:r>
      <w:r w:rsidR="00C76DDD">
        <w:t>3</w:t>
      </w:r>
      <w:r w:rsidR="00B04C31" w:rsidRPr="001C7E08">
        <w:t xml:space="preserve"> i ricavi consolidati progressivi segnano </w:t>
      </w:r>
      <w:r w:rsidR="00B04C31" w:rsidRPr="005B5CB9">
        <w:t xml:space="preserve">una crescita del </w:t>
      </w:r>
      <w:r w:rsidR="005B5CB9" w:rsidRPr="005B5CB9">
        <w:t>12,9</w:t>
      </w:r>
      <w:r w:rsidR="00B04C31" w:rsidRPr="005B5CB9">
        <w:t xml:space="preserve">% rispetto ai primi </w:t>
      </w:r>
      <w:r w:rsidRPr="005B5CB9">
        <w:t>dieci</w:t>
      </w:r>
      <w:r w:rsidR="00F353A1" w:rsidRPr="005B5CB9">
        <w:t xml:space="preserve"> mesi 202</w:t>
      </w:r>
      <w:r w:rsidR="00C76DDD" w:rsidRPr="005B5CB9">
        <w:t>2</w:t>
      </w:r>
    </w:p>
    <w:p w:rsidR="00B04C31" w:rsidRPr="0069369A" w:rsidRDefault="00B04C31" w:rsidP="00B04C31">
      <w:pPr>
        <w:jc w:val="both"/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4"/>
        <w:gridCol w:w="737"/>
        <w:gridCol w:w="691"/>
        <w:gridCol w:w="851"/>
        <w:gridCol w:w="708"/>
        <w:gridCol w:w="726"/>
        <w:gridCol w:w="812"/>
        <w:gridCol w:w="628"/>
        <w:gridCol w:w="828"/>
        <w:gridCol w:w="540"/>
        <w:gridCol w:w="595"/>
      </w:tblGrid>
      <w:tr w:rsidR="00F73D6C" w:rsidTr="00F73D6C">
        <w:trPr>
          <w:trHeight w:val="51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(migliaia di euro)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C274B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1/1-30/9 2023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Marg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C274B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1/1-30/9 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Marg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F73D6C" w:rsidRPr="00B359FD" w:rsidRDefault="00F73D6C" w:rsidP="00B67473">
            <w:pPr>
              <w:jc w:val="center"/>
              <w:rPr>
                <w:rFonts w:eastAsia="Arial Unicode MS"/>
                <w:b/>
                <w:bCs/>
                <w:i/>
                <w:sz w:val="20"/>
                <w:szCs w:val="20"/>
              </w:rPr>
            </w:pPr>
            <w:proofErr w:type="spellStart"/>
            <w:r w:rsidRPr="00B359FD">
              <w:rPr>
                <w:b/>
                <w:bCs/>
                <w:i/>
                <w:sz w:val="20"/>
                <w:szCs w:val="20"/>
              </w:rPr>
              <w:t>var</w:t>
            </w:r>
            <w:proofErr w:type="spellEnd"/>
            <w:r w:rsidRPr="00B359FD"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C274B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 trim. 2023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Marg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F353A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 trim. 202</w:t>
            </w:r>
            <w:r w:rsidR="00FC274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Marg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73D6C" w:rsidRPr="00B359FD" w:rsidRDefault="00F73D6C" w:rsidP="00B67473">
            <w:pPr>
              <w:jc w:val="center"/>
              <w:rPr>
                <w:rFonts w:eastAsia="Arial Unicode MS"/>
                <w:b/>
                <w:bCs/>
                <w:i/>
                <w:sz w:val="20"/>
                <w:szCs w:val="20"/>
              </w:rPr>
            </w:pPr>
            <w:proofErr w:type="spellStart"/>
            <w:r w:rsidRPr="00B359FD">
              <w:rPr>
                <w:b/>
                <w:bCs/>
                <w:i/>
                <w:sz w:val="20"/>
                <w:szCs w:val="20"/>
              </w:rPr>
              <w:t>var</w:t>
            </w:r>
            <w:proofErr w:type="spellEnd"/>
            <w:r w:rsidRPr="00B359FD"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F73D6C" w:rsidTr="00F73D6C">
        <w:trPr>
          <w:trHeight w:val="25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3D6C" w:rsidRDefault="00F73D6C" w:rsidP="00B674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3D6C" w:rsidRPr="00B359FD" w:rsidRDefault="00F73D6C" w:rsidP="00B67473">
            <w:pPr>
              <w:jc w:val="center"/>
              <w:rPr>
                <w:rFonts w:eastAsia="Arial Unicode MS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3D6C" w:rsidRDefault="00F73D6C" w:rsidP="00B6747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3D6C" w:rsidRPr="00B359FD" w:rsidRDefault="00F73D6C" w:rsidP="00B67473">
            <w:pPr>
              <w:jc w:val="center"/>
              <w:rPr>
                <w:rFonts w:eastAsia="Arial Unicode MS"/>
                <w:b/>
                <w:bCs/>
                <w:i/>
                <w:sz w:val="20"/>
                <w:szCs w:val="20"/>
              </w:rPr>
            </w:pPr>
          </w:p>
        </w:tc>
      </w:tr>
      <w:tr w:rsidR="00FC274B" w:rsidRPr="00387909" w:rsidTr="00F73D6C">
        <w:trPr>
          <w:trHeight w:val="285"/>
        </w:trPr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b/>
                <w:bCs/>
                <w:sz w:val="20"/>
              </w:rPr>
            </w:pPr>
            <w:r w:rsidRPr="00387909">
              <w:rPr>
                <w:b/>
                <w:bCs/>
                <w:sz w:val="20"/>
                <w:szCs w:val="22"/>
              </w:rPr>
              <w:t>Ricavi delle vendite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169.048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148.978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13,5%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51.406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44.619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15,2%</w:t>
            </w:r>
          </w:p>
        </w:tc>
      </w:tr>
      <w:tr w:rsidR="00FC274B" w:rsidRPr="00387909" w:rsidTr="00F73D6C">
        <w:trPr>
          <w:trHeight w:hRule="exact" w:val="22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</w:tr>
      <w:tr w:rsidR="00FC274B" w:rsidRPr="00387909" w:rsidTr="00F73D6C">
        <w:trPr>
          <w:trHeight w:val="255"/>
        </w:trPr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 w:rsidRPr="00387909">
              <w:rPr>
                <w:b/>
                <w:bCs/>
                <w:sz w:val="20"/>
                <w:szCs w:val="20"/>
              </w:rPr>
              <w:t>Ris</w:t>
            </w:r>
            <w:proofErr w:type="spellEnd"/>
            <w:r w:rsidRPr="00387909">
              <w:rPr>
                <w:b/>
                <w:bCs/>
                <w:sz w:val="20"/>
                <w:szCs w:val="20"/>
              </w:rPr>
              <w:t>. operativo lordo (</w:t>
            </w:r>
            <w:proofErr w:type="spellStart"/>
            <w:r w:rsidRPr="00387909">
              <w:rPr>
                <w:b/>
                <w:bCs/>
                <w:sz w:val="20"/>
                <w:szCs w:val="20"/>
              </w:rPr>
              <w:t>Ebitda</w:t>
            </w:r>
            <w:proofErr w:type="spellEnd"/>
            <w:r w:rsidRPr="003879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52.691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41.723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26,3%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14.042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27,3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11.218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25,1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25,2%</w:t>
            </w:r>
          </w:p>
        </w:tc>
      </w:tr>
      <w:tr w:rsidR="00FC274B" w:rsidRPr="00387909" w:rsidTr="00F73D6C">
        <w:trPr>
          <w:trHeight w:hRule="exact" w:val="227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</w:tr>
      <w:tr w:rsidR="00FC274B" w:rsidRPr="00387909" w:rsidTr="00F73D6C">
        <w:trPr>
          <w:trHeight w:val="255"/>
        </w:trPr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387909">
              <w:rPr>
                <w:b/>
                <w:bCs/>
                <w:sz w:val="20"/>
                <w:szCs w:val="20"/>
              </w:rPr>
              <w:t>Risultato operativo (</w:t>
            </w:r>
            <w:proofErr w:type="spellStart"/>
            <w:r w:rsidRPr="00387909">
              <w:rPr>
                <w:b/>
                <w:bCs/>
                <w:sz w:val="20"/>
                <w:szCs w:val="20"/>
              </w:rPr>
              <w:t>Ebit</w:t>
            </w:r>
            <w:proofErr w:type="spellEnd"/>
            <w:r w:rsidRPr="003879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43.263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32.823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31,8%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10.835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21,1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8.175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18,3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32,5%</w:t>
            </w:r>
          </w:p>
        </w:tc>
      </w:tr>
      <w:tr w:rsidR="00FC274B" w:rsidRPr="00387909" w:rsidTr="00F73D6C">
        <w:trPr>
          <w:trHeight w:hRule="exact" w:val="227"/>
        </w:trPr>
        <w:tc>
          <w:tcPr>
            <w:tcW w:w="252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</w:tr>
      <w:tr w:rsidR="00FC274B" w:rsidTr="00F73D6C">
        <w:trPr>
          <w:trHeight w:val="255"/>
        </w:trPr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Risultato</w:t>
            </w:r>
            <w:r w:rsidRPr="00387909">
              <w:rPr>
                <w:b/>
                <w:bCs/>
                <w:sz w:val="20"/>
                <w:szCs w:val="20"/>
              </w:rPr>
              <w:t xml:space="preserve"> ante imposte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43.147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32.938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31,0%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10.697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20,8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8.266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18,5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29,4%</w:t>
            </w:r>
          </w:p>
        </w:tc>
      </w:tr>
      <w:tr w:rsidR="00FC274B" w:rsidTr="00F73D6C">
        <w:trPr>
          <w:trHeight w:val="255"/>
        </w:trPr>
        <w:tc>
          <w:tcPr>
            <w:tcW w:w="252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</w:tr>
      <w:tr w:rsidR="00FC274B" w:rsidTr="00F73D6C">
        <w:trPr>
          <w:trHeight w:val="255"/>
        </w:trPr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387909" w:rsidRDefault="00FC274B" w:rsidP="00FC27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Risultato netto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32.103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24.325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16,3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32,0%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8.223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16,0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>6.133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13,7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34,1%</w:t>
            </w:r>
          </w:p>
        </w:tc>
      </w:tr>
      <w:tr w:rsidR="00FC274B" w:rsidTr="00F73D6C">
        <w:trPr>
          <w:trHeight w:val="255"/>
        </w:trPr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74B" w:rsidRDefault="00FC274B" w:rsidP="00FC27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74B" w:rsidRPr="00FC274B" w:rsidRDefault="00FC274B" w:rsidP="00FC274B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74B" w:rsidRPr="00B359FD" w:rsidRDefault="00FC274B" w:rsidP="00FC274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C274B" w:rsidTr="00F73D6C">
        <w:trPr>
          <w:trHeight w:val="255"/>
        </w:trPr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Default="00FC274B" w:rsidP="00FC27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Disponibilità </w:t>
            </w:r>
            <w:proofErr w:type="spellStart"/>
            <w:r>
              <w:rPr>
                <w:b/>
                <w:bCs/>
                <w:sz w:val="20"/>
                <w:szCs w:val="20"/>
              </w:rPr>
              <w:t>finanz</w:t>
            </w:r>
            <w:proofErr w:type="spellEnd"/>
            <w:r>
              <w:rPr>
                <w:b/>
                <w:bCs/>
                <w:sz w:val="20"/>
                <w:szCs w:val="20"/>
              </w:rPr>
              <w:t>. netta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 xml:space="preserve">9.323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4B" w:rsidRPr="00FC274B" w:rsidRDefault="00FC274B" w:rsidP="00FC274B">
            <w:pPr>
              <w:jc w:val="center"/>
              <w:rPr>
                <w:sz w:val="20"/>
                <w:szCs w:val="20"/>
              </w:rPr>
            </w:pPr>
            <w:r w:rsidRPr="00FC274B">
              <w:rPr>
                <w:sz w:val="20"/>
                <w:szCs w:val="20"/>
              </w:rPr>
              <w:t xml:space="preserve">11.013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FC274B" w:rsidRDefault="00FC274B" w:rsidP="00FC274B">
            <w:pPr>
              <w:jc w:val="center"/>
              <w:rPr>
                <w:i/>
                <w:iCs/>
                <w:sz w:val="20"/>
                <w:szCs w:val="20"/>
              </w:rPr>
            </w:pPr>
            <w:r w:rsidRPr="00FC274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4B" w:rsidRDefault="00FC274B" w:rsidP="00FC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74B" w:rsidRPr="00B359FD" w:rsidRDefault="00FC274B" w:rsidP="00FC274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B04C31" w:rsidRPr="007E78BE" w:rsidRDefault="00B04C31" w:rsidP="00B04C31">
      <w:pPr>
        <w:pStyle w:val="Corpotesto"/>
      </w:pPr>
    </w:p>
    <w:p w:rsidR="00B04C31" w:rsidRDefault="00F353A1" w:rsidP="00B04C31">
      <w:pPr>
        <w:jc w:val="both"/>
      </w:pPr>
      <w:r>
        <w:rPr>
          <w:i/>
          <w:iCs/>
        </w:rPr>
        <w:t>Brescia,14</w:t>
      </w:r>
      <w:r w:rsidR="00B04C31" w:rsidRPr="007E78BE">
        <w:rPr>
          <w:i/>
          <w:iCs/>
        </w:rPr>
        <w:t xml:space="preserve"> </w:t>
      </w:r>
      <w:r w:rsidR="00F73D6C">
        <w:rPr>
          <w:i/>
          <w:iCs/>
        </w:rPr>
        <w:t>nov</w:t>
      </w:r>
      <w:r w:rsidR="00B04C31">
        <w:rPr>
          <w:i/>
          <w:iCs/>
        </w:rPr>
        <w:t>embre</w:t>
      </w:r>
      <w:r w:rsidR="00B04C31" w:rsidRPr="007E78BE">
        <w:rPr>
          <w:i/>
          <w:iCs/>
        </w:rPr>
        <w:t xml:space="preserve"> 20</w:t>
      </w:r>
      <w:r w:rsidR="00B04C31">
        <w:rPr>
          <w:i/>
          <w:iCs/>
        </w:rPr>
        <w:t>2</w:t>
      </w:r>
      <w:r w:rsidR="00FC274B">
        <w:rPr>
          <w:i/>
          <w:iCs/>
        </w:rPr>
        <w:t>3</w:t>
      </w:r>
      <w:r w:rsidR="00B04C31" w:rsidRPr="007E78BE">
        <w:rPr>
          <w:i/>
          <w:iCs/>
        </w:rPr>
        <w:t xml:space="preserve"> – </w:t>
      </w:r>
      <w:r w:rsidR="00F73D6C">
        <w:t>Il Consiglio di Amministrazione di Cembre S.p.A., società quotata al segmento Star di Borsa Italiana, tra i principali produttori europei di connettori elettrici e utensili per la loro installazione, riunitosi oggi a Brescia sotto la guida del Presidente e Amministratore Delegato Ing. Giovanni Rosani, ha approvato il resoconto intermedio di gestione al 30 settembre 202</w:t>
      </w:r>
      <w:r w:rsidR="00FC274B">
        <w:t>3</w:t>
      </w:r>
      <w:r w:rsidR="00B04C31" w:rsidRPr="007E78BE">
        <w:t>.</w:t>
      </w:r>
    </w:p>
    <w:p w:rsidR="00B04C31" w:rsidRPr="007E78BE" w:rsidRDefault="00B04C31" w:rsidP="00B04C31">
      <w:pPr>
        <w:jc w:val="both"/>
      </w:pPr>
    </w:p>
    <w:p w:rsidR="00B04C31" w:rsidRPr="007E78BE" w:rsidRDefault="00F73D6C" w:rsidP="00B04C31">
      <w:pPr>
        <w:jc w:val="both"/>
      </w:pPr>
      <w:r>
        <w:t>Nei primi nove mesi del</w:t>
      </w:r>
      <w:r w:rsidR="00B04C31">
        <w:t xml:space="preserve"> 202</w:t>
      </w:r>
      <w:r w:rsidR="00FC274B">
        <w:t>3</w:t>
      </w:r>
      <w:r w:rsidR="00B04C31">
        <w:t xml:space="preserve"> </w:t>
      </w:r>
      <w:r w:rsidR="00B04C31" w:rsidRPr="007E78BE">
        <w:t xml:space="preserve">il Gruppo ha evidenziato </w:t>
      </w:r>
      <w:r w:rsidR="00B04C31" w:rsidRPr="00DC6099">
        <w:rPr>
          <w:b/>
          <w:bCs/>
          <w:u w:val="single"/>
        </w:rPr>
        <w:t>ricavi delle vendite consolidati</w:t>
      </w:r>
      <w:r w:rsidR="00B04C31" w:rsidRPr="007E78BE">
        <w:t xml:space="preserve"> pari a </w:t>
      </w:r>
      <w:r w:rsidR="00BC292E">
        <w:t>1</w:t>
      </w:r>
      <w:r w:rsidR="00FC274B">
        <w:t>69</w:t>
      </w:r>
      <w:r w:rsidR="005758AE">
        <w:t>,0</w:t>
      </w:r>
      <w:r w:rsidR="00B04C31">
        <w:t xml:space="preserve"> </w:t>
      </w:r>
      <w:r w:rsidR="00B04C31" w:rsidRPr="007E78BE">
        <w:t xml:space="preserve">milioni di euro, in </w:t>
      </w:r>
      <w:r w:rsidR="00B04C31">
        <w:t>crescita</w:t>
      </w:r>
      <w:r w:rsidR="00B04C31" w:rsidRPr="007E78BE">
        <w:t xml:space="preserve"> de</w:t>
      </w:r>
      <w:r w:rsidR="00B04C31">
        <w:t xml:space="preserve">l </w:t>
      </w:r>
      <w:r w:rsidR="00FC274B">
        <w:t>13,5</w:t>
      </w:r>
      <w:r w:rsidR="00B04C31" w:rsidRPr="007E78BE">
        <w:t xml:space="preserve">% rispetto ai </w:t>
      </w:r>
      <w:r w:rsidR="00FC274B">
        <w:t>149,0</w:t>
      </w:r>
      <w:r w:rsidR="00B04C31" w:rsidRPr="007E78BE">
        <w:t xml:space="preserve"> milioni di euro </w:t>
      </w:r>
      <w:r>
        <w:t>dei primi nove mesi del</w:t>
      </w:r>
      <w:r w:rsidR="00B04C31" w:rsidRPr="007E78BE">
        <w:t xml:space="preserve"> 2</w:t>
      </w:r>
      <w:r w:rsidR="005758AE">
        <w:t>02</w:t>
      </w:r>
      <w:r w:rsidR="00FC274B">
        <w:t>2</w:t>
      </w:r>
      <w:r w:rsidR="00826432">
        <w:t>.</w:t>
      </w:r>
    </w:p>
    <w:p w:rsidR="00B04C31" w:rsidRDefault="00B04C31" w:rsidP="00B04C31">
      <w:pPr>
        <w:pStyle w:val="Corpotesto"/>
      </w:pPr>
      <w:r w:rsidRPr="007E78BE">
        <w:t xml:space="preserve">Le vendite del Gruppo in Italia, pari a </w:t>
      </w:r>
      <w:r w:rsidR="00FC274B">
        <w:t>74,0</w:t>
      </w:r>
      <w:r w:rsidRPr="007E78BE">
        <w:t xml:space="preserve"> milioni di euro, sono </w:t>
      </w:r>
      <w:r>
        <w:t>aumentate</w:t>
      </w:r>
      <w:r w:rsidRPr="007E78BE">
        <w:t xml:space="preserve"> </w:t>
      </w:r>
      <w:r w:rsidR="00F73D6C">
        <w:t xml:space="preserve">del </w:t>
      </w:r>
      <w:r w:rsidR="00FC274B">
        <w:t>14,9</w:t>
      </w:r>
      <w:r w:rsidRPr="007E78BE">
        <w:t xml:space="preserve">%, mentre quelle estere, pari a </w:t>
      </w:r>
      <w:r w:rsidR="00FC274B">
        <w:t>95,1</w:t>
      </w:r>
      <w:r w:rsidRPr="007E78BE">
        <w:t xml:space="preserve"> milioni di euro, sono </w:t>
      </w:r>
      <w:r>
        <w:t>salite</w:t>
      </w:r>
      <w:r w:rsidRPr="007E78BE">
        <w:t xml:space="preserve"> </w:t>
      </w:r>
      <w:r>
        <w:t xml:space="preserve">del </w:t>
      </w:r>
      <w:r w:rsidR="00FC274B">
        <w:t>12,4</w:t>
      </w:r>
      <w:r w:rsidRPr="007E78BE">
        <w:t xml:space="preserve">%. Nei primi </w:t>
      </w:r>
      <w:r w:rsidR="00F73D6C">
        <w:t>nove mesi</w:t>
      </w:r>
      <w:r w:rsidRPr="007E78BE">
        <w:t xml:space="preserve"> dell’anno i ricavi delle vendite sono stati realizzati per il </w:t>
      </w:r>
      <w:r w:rsidR="00FC274B">
        <w:t>43,8</w:t>
      </w:r>
      <w:r w:rsidRPr="007E78BE">
        <w:t>% in Italia (</w:t>
      </w:r>
      <w:r w:rsidR="00FC274B">
        <w:t>43,2</w:t>
      </w:r>
      <w:r w:rsidRPr="007E78BE">
        <w:t xml:space="preserve">% </w:t>
      </w:r>
      <w:r w:rsidR="00F73D6C">
        <w:t>nei primi nove mesi del</w:t>
      </w:r>
      <w:r w:rsidRPr="007E78BE">
        <w:t xml:space="preserve"> </w:t>
      </w:r>
      <w:r>
        <w:t>202</w:t>
      </w:r>
      <w:r w:rsidR="00FC274B">
        <w:t>2</w:t>
      </w:r>
      <w:r w:rsidRPr="007E78BE">
        <w:t xml:space="preserve">), per il </w:t>
      </w:r>
      <w:r w:rsidR="00FC274B">
        <w:t>46,0</w:t>
      </w:r>
      <w:r w:rsidRPr="007E78BE">
        <w:t>% nella restante parte dell’Europa (</w:t>
      </w:r>
      <w:r w:rsidR="00FC274B">
        <w:t>46,6</w:t>
      </w:r>
      <w:r w:rsidRPr="007E78BE">
        <w:t xml:space="preserve">% </w:t>
      </w:r>
      <w:r w:rsidR="00246643">
        <w:t>nei primi nove mesi del</w:t>
      </w:r>
      <w:r w:rsidR="00246643" w:rsidRPr="007E78BE">
        <w:t xml:space="preserve"> </w:t>
      </w:r>
      <w:r w:rsidR="00246643">
        <w:t>202</w:t>
      </w:r>
      <w:r w:rsidR="00FC274B">
        <w:t>2</w:t>
      </w:r>
      <w:r w:rsidRPr="007E78BE">
        <w:t xml:space="preserve">) e per il </w:t>
      </w:r>
      <w:r w:rsidR="00826432">
        <w:t>10,2</w:t>
      </w:r>
      <w:r w:rsidRPr="007E78BE">
        <w:t>% fuori dal continente europeo (</w:t>
      </w:r>
      <w:r w:rsidR="00FC274B">
        <w:t>10,2</w:t>
      </w:r>
      <w:r>
        <w:t xml:space="preserve">% </w:t>
      </w:r>
      <w:r w:rsidR="00246643">
        <w:t>nei primi nove mesi del</w:t>
      </w:r>
      <w:r w:rsidR="00246643" w:rsidRPr="007E78BE">
        <w:t xml:space="preserve"> </w:t>
      </w:r>
      <w:r w:rsidR="00246643">
        <w:t>202</w:t>
      </w:r>
      <w:r w:rsidR="00FC274B">
        <w:t>2</w:t>
      </w:r>
      <w:r w:rsidRPr="007E78BE">
        <w:t>).</w:t>
      </w:r>
    </w:p>
    <w:p w:rsidR="00B04C31" w:rsidRPr="007E78BE" w:rsidRDefault="00B04C31" w:rsidP="00B04C31">
      <w:pPr>
        <w:pStyle w:val="Corpotesto"/>
      </w:pPr>
    </w:p>
    <w:p w:rsidR="00B04C31" w:rsidRPr="007E78BE" w:rsidRDefault="00B04C31" w:rsidP="00B04C31">
      <w:pPr>
        <w:pStyle w:val="Normale1"/>
        <w:jc w:val="both"/>
        <w:rPr>
          <w:color w:val="auto"/>
        </w:rPr>
      </w:pPr>
      <w:r w:rsidRPr="007E78BE">
        <w:rPr>
          <w:color w:val="auto"/>
        </w:rPr>
        <w:lastRenderedPageBreak/>
        <w:t xml:space="preserve">Il </w:t>
      </w:r>
      <w:r w:rsidRPr="007E78BE">
        <w:rPr>
          <w:b/>
          <w:bCs/>
          <w:color w:val="auto"/>
          <w:u w:val="single"/>
        </w:rPr>
        <w:t>risultato operativo lordo consolidato</w:t>
      </w:r>
      <w:r>
        <w:rPr>
          <w:b/>
          <w:bCs/>
          <w:color w:val="auto"/>
          <w:u w:val="single"/>
        </w:rPr>
        <w:t xml:space="preserve"> (EBITDA)</w:t>
      </w:r>
      <w:r w:rsidRPr="007E78BE">
        <w:rPr>
          <w:color w:val="auto"/>
        </w:rPr>
        <w:t xml:space="preserve"> </w:t>
      </w:r>
      <w:r w:rsidR="00246643">
        <w:rPr>
          <w:color w:val="auto"/>
        </w:rPr>
        <w:t>dei primi nove mesi del</w:t>
      </w:r>
      <w:r w:rsidRPr="007E78BE">
        <w:rPr>
          <w:color w:val="auto"/>
        </w:rPr>
        <w:t xml:space="preserve"> </w:t>
      </w:r>
      <w:r>
        <w:rPr>
          <w:color w:val="auto"/>
        </w:rPr>
        <w:t>202</w:t>
      </w:r>
      <w:r w:rsidR="00FC274B">
        <w:rPr>
          <w:color w:val="auto"/>
        </w:rPr>
        <w:t>3</w:t>
      </w:r>
      <w:r w:rsidRPr="007E78BE">
        <w:rPr>
          <w:color w:val="auto"/>
        </w:rPr>
        <w:t xml:space="preserve">, pari a </w:t>
      </w:r>
      <w:r w:rsidR="00FC274B">
        <w:rPr>
          <w:color w:val="auto"/>
        </w:rPr>
        <w:t>52,7</w:t>
      </w:r>
      <w:r w:rsidRPr="007E78BE">
        <w:rPr>
          <w:color w:val="auto"/>
        </w:rPr>
        <w:t xml:space="preserve"> milioni di euro, corrispondenti al </w:t>
      </w:r>
      <w:r w:rsidR="009A2CB6">
        <w:rPr>
          <w:color w:val="auto"/>
        </w:rPr>
        <w:t>31,2</w:t>
      </w:r>
      <w:r w:rsidRPr="007E78BE">
        <w:rPr>
          <w:color w:val="auto"/>
        </w:rPr>
        <w:t xml:space="preserve">% dei ricavi delle vendite, è </w:t>
      </w:r>
      <w:r>
        <w:rPr>
          <w:color w:val="auto"/>
        </w:rPr>
        <w:t>aumentato</w:t>
      </w:r>
      <w:r w:rsidRPr="007E78BE">
        <w:rPr>
          <w:color w:val="auto"/>
        </w:rPr>
        <w:t xml:space="preserve"> </w:t>
      </w:r>
      <w:r>
        <w:rPr>
          <w:color w:val="auto"/>
        </w:rPr>
        <w:t xml:space="preserve">del </w:t>
      </w:r>
      <w:r w:rsidR="009A2CB6">
        <w:rPr>
          <w:color w:val="auto"/>
        </w:rPr>
        <w:t>26</w:t>
      </w:r>
      <w:r w:rsidR="00496DF2">
        <w:rPr>
          <w:color w:val="auto"/>
        </w:rPr>
        <w:t>,3</w:t>
      </w:r>
      <w:r w:rsidRPr="007E78BE">
        <w:rPr>
          <w:color w:val="auto"/>
        </w:rPr>
        <w:t>% rispetto a quello de</w:t>
      </w:r>
      <w:r w:rsidR="00246643">
        <w:rPr>
          <w:color w:val="auto"/>
        </w:rPr>
        <w:t>i</w:t>
      </w:r>
      <w:r w:rsidRPr="007E78BE">
        <w:rPr>
          <w:color w:val="auto"/>
        </w:rPr>
        <w:t xml:space="preserve"> </w:t>
      </w:r>
      <w:r w:rsidR="00246643">
        <w:rPr>
          <w:color w:val="auto"/>
        </w:rPr>
        <w:t>primi nove mesi del</w:t>
      </w:r>
      <w:r w:rsidRPr="007E78BE">
        <w:rPr>
          <w:color w:val="auto"/>
        </w:rPr>
        <w:t xml:space="preserve"> 20</w:t>
      </w:r>
      <w:r w:rsidR="009A2CB6">
        <w:rPr>
          <w:color w:val="auto"/>
        </w:rPr>
        <w:t>22</w:t>
      </w:r>
      <w:r w:rsidRPr="007E78BE">
        <w:rPr>
          <w:color w:val="auto"/>
        </w:rPr>
        <w:t xml:space="preserve">, pari a </w:t>
      </w:r>
      <w:r w:rsidR="009A2CB6">
        <w:rPr>
          <w:color w:val="auto"/>
        </w:rPr>
        <w:t>41,7</w:t>
      </w:r>
      <w:r>
        <w:rPr>
          <w:color w:val="auto"/>
        </w:rPr>
        <w:t xml:space="preserve"> milioni di euro, corrispondenti</w:t>
      </w:r>
      <w:r w:rsidRPr="007E78BE">
        <w:rPr>
          <w:color w:val="auto"/>
        </w:rPr>
        <w:t xml:space="preserve"> al </w:t>
      </w:r>
      <w:r w:rsidR="009A2CB6">
        <w:rPr>
          <w:color w:val="auto"/>
        </w:rPr>
        <w:t>28,0</w:t>
      </w:r>
      <w:r w:rsidRPr="007E78BE">
        <w:rPr>
          <w:color w:val="auto"/>
        </w:rPr>
        <w:t xml:space="preserve">% dei ricavi delle vendite. </w:t>
      </w:r>
    </w:p>
    <w:p w:rsidR="00B04C31" w:rsidRPr="009A2CB6" w:rsidRDefault="009A2CB6" w:rsidP="00B04C31">
      <w:pPr>
        <w:pStyle w:val="Normale1"/>
        <w:jc w:val="both"/>
        <w:rPr>
          <w:rFonts w:ascii="Times" w:hAnsi="Times"/>
          <w:color w:val="auto"/>
        </w:rPr>
      </w:pPr>
      <w:r w:rsidRPr="009A2CB6">
        <w:rPr>
          <w:color w:val="auto"/>
        </w:rPr>
        <w:t>In diminuzione, nel periodo, l’incidenza del costo del venduto mentre cresce lievemente il peso del costo per servizi, soprattutto a seguito dell’incremento dei costi dell’energia, delle spese per viaggi e trasferte e dei costi per manutenzioni</w:t>
      </w:r>
      <w:r w:rsidR="00496DF2" w:rsidRPr="009A2CB6">
        <w:rPr>
          <w:rFonts w:ascii="Times" w:hAnsi="Times"/>
          <w:color w:val="auto"/>
        </w:rPr>
        <w:t>.</w:t>
      </w:r>
    </w:p>
    <w:p w:rsidR="00714305" w:rsidRPr="00714305" w:rsidRDefault="009A2CB6" w:rsidP="00B04C31">
      <w:pPr>
        <w:pStyle w:val="Normale1"/>
        <w:jc w:val="both"/>
        <w:rPr>
          <w:rFonts w:ascii="Times" w:hAnsi="Times"/>
          <w:color w:val="auto"/>
        </w:rPr>
      </w:pPr>
      <w:r w:rsidRPr="009A2CB6">
        <w:rPr>
          <w:color w:val="auto"/>
        </w:rPr>
        <w:t>Il costo del personale in valore assoluto nei primi nove mesi del 2023 è salito del 10,7% rispetto all’analogo periodo del precedente esercizio, anche a seguito dell’aumento del numero medio dei lavoratori del Gruppo passati da 818 unità dei primi nove mesi del 2022 a 865 unità dei nove mesi del 2023; tuttavia, nonostante tale aumento in valore assoluto, l’incidenza percentuale del costo del personale sul fatturato si è ridotta passando dal 2</w:t>
      </w:r>
      <w:r>
        <w:rPr>
          <w:color w:val="auto"/>
        </w:rPr>
        <w:t>5,4 per cento al 24,7 per cento</w:t>
      </w:r>
      <w:r w:rsidR="00714305" w:rsidRPr="00714305">
        <w:rPr>
          <w:color w:val="auto"/>
        </w:rPr>
        <w:t>.</w:t>
      </w:r>
    </w:p>
    <w:p w:rsidR="00B04C31" w:rsidRPr="007E78BE" w:rsidRDefault="00B04C31" w:rsidP="00B04C31">
      <w:pPr>
        <w:pStyle w:val="Normale1"/>
        <w:jc w:val="both"/>
        <w:rPr>
          <w:color w:val="auto"/>
        </w:rPr>
      </w:pPr>
    </w:p>
    <w:p w:rsidR="00B04C31" w:rsidRPr="00F43BAC" w:rsidRDefault="00B04C31" w:rsidP="00B04C31">
      <w:pPr>
        <w:pStyle w:val="Normale1"/>
        <w:jc w:val="both"/>
        <w:rPr>
          <w:color w:val="auto"/>
        </w:rPr>
      </w:pPr>
      <w:r w:rsidRPr="00F43BAC">
        <w:rPr>
          <w:color w:val="auto"/>
        </w:rPr>
        <w:t xml:space="preserve">Il </w:t>
      </w:r>
      <w:r w:rsidRPr="00F43BAC">
        <w:rPr>
          <w:b/>
          <w:bCs/>
          <w:color w:val="auto"/>
          <w:u w:val="single"/>
        </w:rPr>
        <w:t>risultato operativo consolidato (EBIT)</w:t>
      </w:r>
      <w:r w:rsidR="00246643">
        <w:rPr>
          <w:color w:val="auto"/>
        </w:rPr>
        <w:t xml:space="preserve"> dei primi nove</w:t>
      </w:r>
      <w:r w:rsidRPr="00F43BAC">
        <w:rPr>
          <w:color w:val="auto"/>
        </w:rPr>
        <w:t xml:space="preserve"> mesi del 202</w:t>
      </w:r>
      <w:r w:rsidR="009A2CB6">
        <w:rPr>
          <w:color w:val="auto"/>
        </w:rPr>
        <w:t>3</w:t>
      </w:r>
      <w:r w:rsidRPr="00F43BAC">
        <w:rPr>
          <w:color w:val="auto"/>
        </w:rPr>
        <w:t xml:space="preserve">, pari a </w:t>
      </w:r>
      <w:r w:rsidR="009A2CB6">
        <w:rPr>
          <w:color w:val="auto"/>
        </w:rPr>
        <w:t>43,3</w:t>
      </w:r>
      <w:r w:rsidRPr="00F43BAC">
        <w:rPr>
          <w:color w:val="auto"/>
        </w:rPr>
        <w:t xml:space="preserve"> milioni di euro, corrispondenti ad un margine del </w:t>
      </w:r>
      <w:r w:rsidR="009A2CB6">
        <w:rPr>
          <w:color w:val="auto"/>
        </w:rPr>
        <w:t>25,6</w:t>
      </w:r>
      <w:r w:rsidRPr="00F43BAC">
        <w:rPr>
          <w:color w:val="auto"/>
        </w:rPr>
        <w:t xml:space="preserve">% sui ricavi delle vendite, è cresciuto del </w:t>
      </w:r>
      <w:r w:rsidR="009A2CB6">
        <w:rPr>
          <w:color w:val="auto"/>
        </w:rPr>
        <w:t>31,8</w:t>
      </w:r>
      <w:r w:rsidRPr="00F43BAC">
        <w:rPr>
          <w:color w:val="auto"/>
        </w:rPr>
        <w:t xml:space="preserve">%, rispetto ai </w:t>
      </w:r>
      <w:r w:rsidR="009A2CB6">
        <w:rPr>
          <w:color w:val="auto"/>
        </w:rPr>
        <w:t>32,8</w:t>
      </w:r>
      <w:r w:rsidRPr="00F43BAC">
        <w:rPr>
          <w:color w:val="auto"/>
        </w:rPr>
        <w:t xml:space="preserve"> milioni di euro dei primi </w:t>
      </w:r>
      <w:r w:rsidR="00246643">
        <w:rPr>
          <w:color w:val="auto"/>
        </w:rPr>
        <w:t>nove</w:t>
      </w:r>
      <w:r w:rsidRPr="00F43BAC">
        <w:rPr>
          <w:color w:val="auto"/>
        </w:rPr>
        <w:t xml:space="preserve"> mesi dello scorso esercizio, pari al </w:t>
      </w:r>
      <w:r w:rsidR="009A2CB6">
        <w:rPr>
          <w:color w:val="auto"/>
        </w:rPr>
        <w:t>22,0</w:t>
      </w:r>
      <w:r w:rsidR="00496DF2">
        <w:rPr>
          <w:color w:val="auto"/>
        </w:rPr>
        <w:t>% dei ricavi.</w:t>
      </w:r>
    </w:p>
    <w:p w:rsidR="00B04C31" w:rsidRPr="007E78BE" w:rsidRDefault="00B04C31" w:rsidP="00B04C31">
      <w:pPr>
        <w:pStyle w:val="Corpotesto"/>
      </w:pPr>
    </w:p>
    <w:p w:rsidR="00B04C31" w:rsidRPr="007E78BE" w:rsidRDefault="00B04C31" w:rsidP="00B04C31">
      <w:pPr>
        <w:jc w:val="both"/>
      </w:pPr>
      <w:r w:rsidRPr="007E78BE">
        <w:t>L’</w:t>
      </w:r>
      <w:r w:rsidRPr="007E78BE">
        <w:rPr>
          <w:b/>
          <w:bCs/>
          <w:u w:val="single"/>
        </w:rPr>
        <w:t>utile consolidato ante imposte</w:t>
      </w:r>
      <w:r w:rsidRPr="007E78BE">
        <w:t xml:space="preserve">, pari a </w:t>
      </w:r>
      <w:r w:rsidR="009A2CB6">
        <w:t>43,1</w:t>
      </w:r>
      <w:r w:rsidRPr="007E78BE">
        <w:t xml:space="preserve"> milioni di euro, corrispondente al </w:t>
      </w:r>
      <w:r w:rsidR="009A2CB6">
        <w:t>25,5</w:t>
      </w:r>
      <w:r w:rsidRPr="007E78BE">
        <w:t xml:space="preserve">% delle vendite, è </w:t>
      </w:r>
      <w:r>
        <w:t>in crescita</w:t>
      </w:r>
      <w:r w:rsidRPr="007E78BE">
        <w:t xml:space="preserve"> </w:t>
      </w:r>
      <w:r>
        <w:t xml:space="preserve">del </w:t>
      </w:r>
      <w:r w:rsidR="009A2CB6">
        <w:t>31,0</w:t>
      </w:r>
      <w:r w:rsidR="00246643">
        <w:t>% rispetto a quello dei primi</w:t>
      </w:r>
      <w:r w:rsidRPr="007E78BE">
        <w:t xml:space="preserve"> </w:t>
      </w:r>
      <w:r w:rsidR="00246643">
        <w:t>nove mesi del</w:t>
      </w:r>
      <w:r w:rsidRPr="007E78BE">
        <w:t xml:space="preserve"> 20</w:t>
      </w:r>
      <w:r>
        <w:t>2</w:t>
      </w:r>
      <w:r w:rsidR="009A2CB6">
        <w:t>2</w:t>
      </w:r>
      <w:r w:rsidRPr="007E78BE">
        <w:t xml:space="preserve">, pari a </w:t>
      </w:r>
      <w:r w:rsidR="00FB1650">
        <w:t>32,9</w:t>
      </w:r>
      <w:r w:rsidRPr="007E78BE">
        <w:t xml:space="preserve"> milioni di euro e corrispondente al </w:t>
      </w:r>
      <w:r w:rsidR="009A2CB6">
        <w:t>22,1</w:t>
      </w:r>
      <w:r>
        <w:t>% delle vendite</w:t>
      </w:r>
      <w:r w:rsidRPr="007E78BE">
        <w:t>.</w:t>
      </w:r>
    </w:p>
    <w:p w:rsidR="00B04C31" w:rsidRPr="007E78BE" w:rsidRDefault="00B04C31" w:rsidP="00B04C31">
      <w:pPr>
        <w:pStyle w:val="Corpotesto"/>
      </w:pPr>
    </w:p>
    <w:p w:rsidR="00DE2584" w:rsidRDefault="00B04C31" w:rsidP="00B04C31">
      <w:pPr>
        <w:jc w:val="both"/>
      </w:pPr>
      <w:r w:rsidRPr="007E78BE">
        <w:t>L’</w:t>
      </w:r>
      <w:r w:rsidRPr="007E78BE">
        <w:rPr>
          <w:b/>
          <w:bCs/>
          <w:u w:val="single"/>
        </w:rPr>
        <w:t xml:space="preserve">utile netto di periodo </w:t>
      </w:r>
      <w:r>
        <w:t>ha raggiunto i</w:t>
      </w:r>
      <w:r w:rsidRPr="007E78BE">
        <w:t xml:space="preserve"> </w:t>
      </w:r>
      <w:r w:rsidR="009A2CB6">
        <w:t>32,1</w:t>
      </w:r>
      <w:r w:rsidRPr="007E78BE">
        <w:t xml:space="preserve"> milioni di euro, in </w:t>
      </w:r>
      <w:r>
        <w:t xml:space="preserve">aumento </w:t>
      </w:r>
      <w:r w:rsidRPr="007E78BE">
        <w:t xml:space="preserve">del </w:t>
      </w:r>
      <w:r w:rsidR="009A2CB6">
        <w:t>32,0</w:t>
      </w:r>
      <w:r w:rsidRPr="007E78BE">
        <w:t xml:space="preserve">%, rispetto </w:t>
      </w:r>
      <w:r w:rsidR="00DE2584">
        <w:t xml:space="preserve">ai </w:t>
      </w:r>
      <w:r w:rsidR="009A2CB6">
        <w:t xml:space="preserve">24,3 </w:t>
      </w:r>
      <w:r w:rsidRPr="007E78BE">
        <w:t xml:space="preserve">milioni di euro dello stesso periodo dello scorso anno. L’incidenza percentuale dell’utile netto sul fatturato rappresenta quindi </w:t>
      </w:r>
      <w:r w:rsidR="004A7D47">
        <w:t xml:space="preserve">il </w:t>
      </w:r>
      <w:r w:rsidR="009A2CB6">
        <w:t>19,0</w:t>
      </w:r>
      <w:r w:rsidR="00DE2584">
        <w:t xml:space="preserve">%, in </w:t>
      </w:r>
      <w:r w:rsidR="009A2CB6">
        <w:t>crescita</w:t>
      </w:r>
      <w:r w:rsidR="00DE2584">
        <w:t xml:space="preserve"> </w:t>
      </w:r>
      <w:r w:rsidR="009A2CB6">
        <w:t>rispetto al</w:t>
      </w:r>
      <w:r w:rsidR="00DE2584">
        <w:t xml:space="preserve"> dato dello</w:t>
      </w:r>
      <w:r w:rsidR="004A7D47">
        <w:t xml:space="preserve"> stesso periodo del</w:t>
      </w:r>
      <w:r w:rsidRPr="007E78BE">
        <w:t xml:space="preserve"> 20</w:t>
      </w:r>
      <w:r>
        <w:t>2</w:t>
      </w:r>
      <w:r w:rsidR="009A2CB6">
        <w:t>2 che era pari al 16,3%</w:t>
      </w:r>
      <w:r w:rsidR="00DE2584">
        <w:t>.</w:t>
      </w:r>
    </w:p>
    <w:p w:rsidR="00DE2584" w:rsidRDefault="00DE2584" w:rsidP="00B04C31">
      <w:pPr>
        <w:jc w:val="both"/>
      </w:pPr>
    </w:p>
    <w:p w:rsidR="00B04C31" w:rsidRDefault="00B04C31" w:rsidP="00B04C31">
      <w:pPr>
        <w:pStyle w:val="Normale1"/>
        <w:jc w:val="both"/>
        <w:rPr>
          <w:color w:val="auto"/>
        </w:rPr>
      </w:pPr>
      <w:r w:rsidRPr="000A5FC0">
        <w:rPr>
          <w:b/>
          <w:color w:val="auto"/>
          <w:u w:val="single"/>
        </w:rPr>
        <w:t>La posizione finanziaria netta consolidata</w:t>
      </w:r>
      <w:r w:rsidRPr="000A5FC0">
        <w:rPr>
          <w:b/>
          <w:color w:val="auto"/>
        </w:rPr>
        <w:t>,</w:t>
      </w:r>
      <w:r w:rsidRPr="000A5FC0">
        <w:rPr>
          <w:color w:val="auto"/>
        </w:rPr>
        <w:t xml:space="preserve"> passata da un saldo positivo di </w:t>
      </w:r>
      <w:r w:rsidR="009A2CB6">
        <w:rPr>
          <w:color w:val="auto"/>
        </w:rPr>
        <w:t>14</w:t>
      </w:r>
      <w:r w:rsidR="00DE2584">
        <w:rPr>
          <w:color w:val="auto"/>
        </w:rPr>
        <w:t>,6</w:t>
      </w:r>
      <w:r>
        <w:rPr>
          <w:color w:val="auto"/>
        </w:rPr>
        <w:t xml:space="preserve"> </w:t>
      </w:r>
      <w:r w:rsidRPr="000A5FC0">
        <w:rPr>
          <w:color w:val="auto"/>
        </w:rPr>
        <w:t>milioni di</w:t>
      </w:r>
      <w:r>
        <w:rPr>
          <w:color w:val="auto"/>
        </w:rPr>
        <w:t xml:space="preserve"> euro al 31 dicembre 202</w:t>
      </w:r>
      <w:r w:rsidR="009A2CB6">
        <w:rPr>
          <w:color w:val="auto"/>
        </w:rPr>
        <w:t>2</w:t>
      </w:r>
      <w:r>
        <w:rPr>
          <w:color w:val="auto"/>
        </w:rPr>
        <w:t xml:space="preserve"> ad un valore posi</w:t>
      </w:r>
      <w:r w:rsidRPr="000A5FC0">
        <w:rPr>
          <w:color w:val="auto"/>
        </w:rPr>
        <w:t xml:space="preserve">tivo di </w:t>
      </w:r>
      <w:r w:rsidR="009A2CB6">
        <w:rPr>
          <w:color w:val="auto"/>
        </w:rPr>
        <w:t>9,3</w:t>
      </w:r>
      <w:r w:rsidRPr="000A5FC0">
        <w:rPr>
          <w:color w:val="auto"/>
        </w:rPr>
        <w:t xml:space="preserve"> m</w:t>
      </w:r>
      <w:r w:rsidR="004A7D47">
        <w:rPr>
          <w:color w:val="auto"/>
        </w:rPr>
        <w:t>ilioni di euro al 30 settembre</w:t>
      </w:r>
      <w:r>
        <w:rPr>
          <w:color w:val="auto"/>
        </w:rPr>
        <w:t xml:space="preserve"> 202</w:t>
      </w:r>
      <w:r w:rsidR="009A2CB6">
        <w:rPr>
          <w:color w:val="auto"/>
        </w:rPr>
        <w:t>3</w:t>
      </w:r>
      <w:r w:rsidRPr="000A5FC0">
        <w:rPr>
          <w:color w:val="auto"/>
        </w:rPr>
        <w:t xml:space="preserve">, sconta gli effetti </w:t>
      </w:r>
      <w:r>
        <w:rPr>
          <w:color w:val="auto"/>
        </w:rPr>
        <w:t>de</w:t>
      </w:r>
      <w:r w:rsidRPr="000A5FC0">
        <w:rPr>
          <w:color w:val="auto"/>
        </w:rPr>
        <w:t>l</w:t>
      </w:r>
      <w:r w:rsidR="00DE2584">
        <w:rPr>
          <w:color w:val="auto"/>
        </w:rPr>
        <w:t xml:space="preserve"> pagamento di dividendi per </w:t>
      </w:r>
      <w:r w:rsidR="009A2CB6">
        <w:rPr>
          <w:color w:val="auto"/>
        </w:rPr>
        <w:t>23,5</w:t>
      </w:r>
      <w:r w:rsidRPr="000A5FC0">
        <w:rPr>
          <w:color w:val="auto"/>
        </w:rPr>
        <w:t xml:space="preserve"> milioni</w:t>
      </w:r>
      <w:r>
        <w:rPr>
          <w:color w:val="auto"/>
        </w:rPr>
        <w:t xml:space="preserve"> di euro</w:t>
      </w:r>
      <w:r w:rsidR="009A2CB6">
        <w:rPr>
          <w:color w:val="auto"/>
        </w:rPr>
        <w:t xml:space="preserve"> da parte della Capogruppo e degli</w:t>
      </w:r>
      <w:r w:rsidRPr="000A5FC0">
        <w:rPr>
          <w:color w:val="auto"/>
        </w:rPr>
        <w:t xml:space="preserve"> investimenti in immobilizzazioni per </w:t>
      </w:r>
      <w:r w:rsidR="009A2CB6">
        <w:rPr>
          <w:color w:val="auto"/>
        </w:rPr>
        <w:t>10,9</w:t>
      </w:r>
      <w:r w:rsidRPr="000A5FC0">
        <w:rPr>
          <w:color w:val="auto"/>
        </w:rPr>
        <w:t xml:space="preserve"> milioni di euro. Al 30 </w:t>
      </w:r>
      <w:r w:rsidR="004A7D47">
        <w:rPr>
          <w:color w:val="auto"/>
        </w:rPr>
        <w:t>settembre</w:t>
      </w:r>
      <w:r w:rsidRPr="000A5FC0">
        <w:rPr>
          <w:color w:val="auto"/>
        </w:rPr>
        <w:t xml:space="preserve"> 20</w:t>
      </w:r>
      <w:r>
        <w:rPr>
          <w:color w:val="auto"/>
        </w:rPr>
        <w:t>2</w:t>
      </w:r>
      <w:r w:rsidR="009A2CB6">
        <w:rPr>
          <w:color w:val="auto"/>
        </w:rPr>
        <w:t>2</w:t>
      </w:r>
      <w:r w:rsidRPr="000A5FC0">
        <w:rPr>
          <w:color w:val="auto"/>
        </w:rPr>
        <w:t xml:space="preserve">, la posizione finanziaria netta era </w:t>
      </w:r>
      <w:r w:rsidR="004A7D47">
        <w:rPr>
          <w:color w:val="auto"/>
        </w:rPr>
        <w:t xml:space="preserve">positiva per </w:t>
      </w:r>
      <w:r w:rsidR="009A2CB6">
        <w:rPr>
          <w:color w:val="auto"/>
        </w:rPr>
        <w:t>11,0</w:t>
      </w:r>
      <w:r w:rsidRPr="000A5FC0">
        <w:rPr>
          <w:color w:val="auto"/>
        </w:rPr>
        <w:t xml:space="preserve"> milioni di euro.</w:t>
      </w:r>
    </w:p>
    <w:p w:rsidR="00B04C31" w:rsidRPr="007604B6" w:rsidRDefault="00B04C31" w:rsidP="00B04C31">
      <w:pPr>
        <w:pStyle w:val="Normale1"/>
        <w:jc w:val="both"/>
        <w:rPr>
          <w:color w:val="auto"/>
        </w:rPr>
      </w:pPr>
    </w:p>
    <w:p w:rsidR="00B04C31" w:rsidRDefault="00B04C31" w:rsidP="00B04C31">
      <w:pPr>
        <w:pStyle w:val="Corpotesto"/>
      </w:pPr>
      <w:r w:rsidRPr="007E78BE">
        <w:t xml:space="preserve">Gli </w:t>
      </w:r>
      <w:r w:rsidRPr="007E78BE">
        <w:rPr>
          <w:b/>
          <w:u w:val="single"/>
        </w:rPr>
        <w:t>investimenti</w:t>
      </w:r>
      <w:r w:rsidRPr="007E78BE">
        <w:t xml:space="preserve"> effettuati nel periodo</w:t>
      </w:r>
      <w:r w:rsidR="009A2CB6">
        <w:t>, come già indicato in precedenza,</w:t>
      </w:r>
      <w:r w:rsidRPr="007E78BE">
        <w:t xml:space="preserve"> ammontano a </w:t>
      </w:r>
      <w:r w:rsidR="009A2CB6">
        <w:t>10,9</w:t>
      </w:r>
      <w:r>
        <w:t xml:space="preserve"> </w:t>
      </w:r>
      <w:r w:rsidRPr="007E78BE">
        <w:t>milioni di euro, principalmente in impianti e macchinari, a fronte di investimenti nello stesso periodo del 20</w:t>
      </w:r>
      <w:r>
        <w:t>2</w:t>
      </w:r>
      <w:r w:rsidR="009A2CB6">
        <w:t>2</w:t>
      </w:r>
      <w:r w:rsidRPr="007E78BE">
        <w:t xml:space="preserve"> pari a </w:t>
      </w:r>
      <w:r w:rsidR="009A2CB6">
        <w:t>8,3</w:t>
      </w:r>
      <w:r w:rsidR="00DE2584">
        <w:t xml:space="preserve"> </w:t>
      </w:r>
      <w:r>
        <w:t>milioni di euro.</w:t>
      </w:r>
    </w:p>
    <w:p w:rsidR="001C7C82" w:rsidRDefault="001C7C82" w:rsidP="00B04C31">
      <w:pPr>
        <w:pStyle w:val="Corpotesto"/>
      </w:pPr>
    </w:p>
    <w:p w:rsidR="00E728FD" w:rsidRPr="007515BF" w:rsidRDefault="00E728FD" w:rsidP="00E728FD">
      <w:pPr>
        <w:pStyle w:val="Normale1"/>
        <w:jc w:val="both"/>
        <w:rPr>
          <w:rFonts w:ascii="Times New Roman" w:eastAsia="Calibri" w:hAnsi="Times New Roman"/>
          <w:i/>
          <w:iCs/>
          <w:color w:val="auto"/>
          <w:highlight w:val="yellow"/>
        </w:rPr>
      </w:pPr>
      <w:r w:rsidRPr="004051E8">
        <w:rPr>
          <w:rFonts w:ascii="Times New Roman" w:eastAsia="Calibri" w:hAnsi="Times New Roman"/>
          <w:i/>
          <w:iCs/>
          <w:color w:val="auto"/>
        </w:rPr>
        <w:t xml:space="preserve">“I ricavi consolidati del Gruppo Cembre </w:t>
      </w:r>
      <w:r w:rsidR="00105A59">
        <w:rPr>
          <w:rFonts w:ascii="Times New Roman" w:eastAsia="Calibri" w:hAnsi="Times New Roman"/>
          <w:i/>
          <w:iCs/>
          <w:color w:val="auto"/>
        </w:rPr>
        <w:t>nei primi nove mesi</w:t>
      </w:r>
      <w:bookmarkStart w:id="0" w:name="_GoBack"/>
      <w:bookmarkEnd w:id="0"/>
      <w:r>
        <w:rPr>
          <w:rFonts w:ascii="Times New Roman" w:eastAsia="Calibri" w:hAnsi="Times New Roman"/>
          <w:i/>
          <w:iCs/>
          <w:color w:val="auto"/>
        </w:rPr>
        <w:t xml:space="preserve"> 2023 sono pari a 169</w:t>
      </w:r>
      <w:r w:rsidRPr="004051E8">
        <w:rPr>
          <w:rFonts w:ascii="Times New Roman" w:eastAsia="Calibri" w:hAnsi="Times New Roman"/>
          <w:i/>
          <w:iCs/>
          <w:color w:val="auto"/>
        </w:rPr>
        <w:t xml:space="preserve"> mil</w:t>
      </w:r>
      <w:r>
        <w:rPr>
          <w:rFonts w:ascii="Times New Roman" w:eastAsia="Calibri" w:hAnsi="Times New Roman"/>
          <w:i/>
          <w:iCs/>
          <w:color w:val="auto"/>
        </w:rPr>
        <w:t>ioni di euro, in crescita del 13,5</w:t>
      </w:r>
      <w:r w:rsidRPr="004051E8">
        <w:rPr>
          <w:rFonts w:ascii="Times New Roman" w:eastAsia="Calibri" w:hAnsi="Times New Roman"/>
          <w:i/>
          <w:iCs/>
          <w:color w:val="auto"/>
        </w:rPr>
        <w:t>% rispetto all’analogo periodo del</w:t>
      </w:r>
      <w:r>
        <w:rPr>
          <w:rFonts w:ascii="Times New Roman" w:eastAsia="Calibri" w:hAnsi="Times New Roman"/>
          <w:i/>
          <w:iCs/>
          <w:color w:val="auto"/>
        </w:rPr>
        <w:t>l'esercizio precedente. Anche il mese</w:t>
      </w:r>
      <w:r w:rsidRPr="004051E8">
        <w:rPr>
          <w:rFonts w:ascii="Times New Roman" w:eastAsia="Calibri" w:hAnsi="Times New Roman"/>
          <w:i/>
          <w:iCs/>
          <w:color w:val="auto"/>
        </w:rPr>
        <w:t xml:space="preserve"> di </w:t>
      </w:r>
      <w:r>
        <w:rPr>
          <w:rFonts w:ascii="Times New Roman" w:eastAsia="Calibri" w:hAnsi="Times New Roman"/>
          <w:i/>
          <w:iCs/>
          <w:color w:val="auto"/>
        </w:rPr>
        <w:t>ottobre</w:t>
      </w:r>
      <w:r w:rsidRPr="004051E8">
        <w:rPr>
          <w:rFonts w:ascii="Times New Roman" w:eastAsia="Calibri" w:hAnsi="Times New Roman"/>
          <w:i/>
          <w:iCs/>
          <w:color w:val="auto"/>
        </w:rPr>
        <w:t xml:space="preserve"> ha avuto un andamento positivo</w:t>
      </w:r>
      <w:r>
        <w:rPr>
          <w:rFonts w:ascii="Times New Roman" w:eastAsia="Calibri" w:hAnsi="Times New Roman"/>
          <w:i/>
          <w:iCs/>
          <w:color w:val="auto"/>
        </w:rPr>
        <w:t xml:space="preserve"> e le</w:t>
      </w:r>
      <w:r w:rsidRPr="004051E8">
        <w:rPr>
          <w:rFonts w:ascii="Times New Roman" w:eastAsia="Calibri" w:hAnsi="Times New Roman"/>
          <w:i/>
          <w:iCs/>
          <w:color w:val="auto"/>
        </w:rPr>
        <w:t xml:space="preserve"> vendite progressive del Gruppo nei primi </w:t>
      </w:r>
      <w:r>
        <w:rPr>
          <w:rFonts w:ascii="Times New Roman" w:eastAsia="Calibri" w:hAnsi="Times New Roman"/>
          <w:i/>
          <w:iCs/>
          <w:color w:val="auto"/>
        </w:rPr>
        <w:t>dieci</w:t>
      </w:r>
      <w:r w:rsidRPr="004051E8">
        <w:rPr>
          <w:rFonts w:ascii="Times New Roman" w:eastAsia="Calibri" w:hAnsi="Times New Roman"/>
          <w:i/>
          <w:iCs/>
          <w:color w:val="auto"/>
        </w:rPr>
        <w:t xml:space="preserve"> mesi del 2023 </w:t>
      </w:r>
      <w:r>
        <w:rPr>
          <w:rFonts w:ascii="Times New Roman" w:eastAsia="Calibri" w:hAnsi="Times New Roman"/>
          <w:i/>
          <w:iCs/>
          <w:color w:val="auto"/>
        </w:rPr>
        <w:t xml:space="preserve">segnano una </w:t>
      </w:r>
      <w:r w:rsidR="005B5CB9" w:rsidRPr="005B5CB9">
        <w:rPr>
          <w:rFonts w:ascii="Times New Roman" w:eastAsia="Calibri" w:hAnsi="Times New Roman"/>
          <w:i/>
          <w:iCs/>
          <w:color w:val="auto"/>
        </w:rPr>
        <w:t>crescita del 12,9</w:t>
      </w:r>
      <w:r w:rsidRPr="005B5CB9">
        <w:rPr>
          <w:rFonts w:ascii="Times New Roman" w:eastAsia="Calibri" w:hAnsi="Times New Roman"/>
          <w:i/>
          <w:iCs/>
          <w:color w:val="auto"/>
        </w:rPr>
        <w:t>% rispetto ai primi dieci mesi del 2022</w:t>
      </w:r>
      <w:r>
        <w:rPr>
          <w:rFonts w:ascii="Times New Roman" w:eastAsia="Calibri" w:hAnsi="Times New Roman"/>
          <w:i/>
          <w:iCs/>
          <w:color w:val="auto"/>
        </w:rPr>
        <w:t xml:space="preserve">; inoltre </w:t>
      </w:r>
      <w:r w:rsidRPr="00854ED9">
        <w:rPr>
          <w:rFonts w:ascii="Times New Roman" w:hAnsi="Times New Roman"/>
          <w:i/>
          <w:iCs/>
          <w:color w:val="auto"/>
        </w:rPr>
        <w:t xml:space="preserve">la posizione finanziaria netta </w:t>
      </w:r>
      <w:r>
        <w:rPr>
          <w:rFonts w:ascii="Times New Roman" w:hAnsi="Times New Roman"/>
          <w:i/>
          <w:iCs/>
          <w:color w:val="auto"/>
        </w:rPr>
        <w:t xml:space="preserve">al 31 ottobre 2023 </w:t>
      </w:r>
      <w:r w:rsidRPr="00854ED9">
        <w:rPr>
          <w:rFonts w:ascii="Times New Roman" w:hAnsi="Times New Roman"/>
          <w:i/>
          <w:iCs/>
          <w:color w:val="auto"/>
        </w:rPr>
        <w:t>risulta pos</w:t>
      </w:r>
      <w:r w:rsidR="005920F5">
        <w:rPr>
          <w:rFonts w:ascii="Times New Roman" w:hAnsi="Times New Roman"/>
          <w:i/>
          <w:iCs/>
          <w:color w:val="auto"/>
        </w:rPr>
        <w:t>itiva per 16,3</w:t>
      </w:r>
      <w:r w:rsidRPr="00854ED9">
        <w:rPr>
          <w:rFonts w:ascii="Times New Roman" w:hAnsi="Times New Roman"/>
          <w:i/>
          <w:iCs/>
          <w:color w:val="auto"/>
        </w:rPr>
        <w:t xml:space="preserve"> milioni di euro.</w:t>
      </w:r>
      <w:r w:rsidRPr="00854ED9">
        <w:rPr>
          <w:i/>
          <w:color w:val="auto"/>
        </w:rPr>
        <w:t xml:space="preserve">” </w:t>
      </w:r>
      <w:r w:rsidRPr="00854ED9">
        <w:rPr>
          <w:rFonts w:ascii="Times New Roman" w:eastAsia="Calibri" w:hAnsi="Times New Roman"/>
          <w:i/>
          <w:iCs/>
          <w:color w:val="auto"/>
        </w:rPr>
        <w:t xml:space="preserve">- </w:t>
      </w:r>
      <w:r w:rsidRPr="00854ED9">
        <w:rPr>
          <w:rFonts w:ascii="Times New Roman" w:eastAsia="Calibri" w:hAnsi="Times New Roman"/>
          <w:iCs/>
          <w:color w:val="auto"/>
        </w:rPr>
        <w:t xml:space="preserve">ha commentato il Presidente Giovanni </w:t>
      </w:r>
      <w:proofErr w:type="spellStart"/>
      <w:r w:rsidRPr="00854ED9">
        <w:rPr>
          <w:rFonts w:ascii="Times New Roman" w:eastAsia="Calibri" w:hAnsi="Times New Roman"/>
          <w:iCs/>
          <w:color w:val="auto"/>
        </w:rPr>
        <w:t>Rosani</w:t>
      </w:r>
      <w:proofErr w:type="spellEnd"/>
      <w:r w:rsidRPr="00854ED9">
        <w:rPr>
          <w:rFonts w:ascii="Times New Roman" w:eastAsia="Calibri" w:hAnsi="Times New Roman"/>
          <w:iCs/>
          <w:color w:val="auto"/>
        </w:rPr>
        <w:t>.</w:t>
      </w:r>
    </w:p>
    <w:p w:rsidR="00B04C31" w:rsidRPr="002019C8" w:rsidRDefault="00B04C31" w:rsidP="00B04C31">
      <w:pPr>
        <w:pStyle w:val="Normale11"/>
        <w:jc w:val="both"/>
        <w:rPr>
          <w:rFonts w:ascii="Times New Roman" w:hAnsi="Times New Roman"/>
          <w:color w:val="auto"/>
        </w:rPr>
      </w:pPr>
    </w:p>
    <w:p w:rsidR="00B04C31" w:rsidRPr="007E78BE" w:rsidRDefault="00B04C31" w:rsidP="00B04C31">
      <w:pPr>
        <w:jc w:val="center"/>
        <w:rPr>
          <w:i/>
        </w:rPr>
      </w:pPr>
      <w:r w:rsidRPr="007E78BE">
        <w:rPr>
          <w:i/>
        </w:rPr>
        <w:t>* * * *</w:t>
      </w:r>
    </w:p>
    <w:p w:rsidR="00B04C31" w:rsidRPr="009D0D89" w:rsidRDefault="00B04C31" w:rsidP="00B04C31">
      <w:pPr>
        <w:pStyle w:val="Corpodeltesto2"/>
      </w:pPr>
      <w:r w:rsidRPr="007E78BE">
        <w:t>Cembre progetta, produce e distribuisce connettori elettrici ed accessori per cavo, settore nel quale ha raggiunto una posizione di leadership in Italia e ha conquistato importanti quote di mercato a</w:t>
      </w:r>
      <w:r w:rsidRPr="009D0D89">
        <w:t xml:space="preserve"> </w:t>
      </w:r>
      <w:r w:rsidRPr="009D0D89">
        <w:lastRenderedPageBreak/>
        <w:t>livello europeo. Cembre è tra i principali produttori mondiali di utensili (meccanici, pneumatici e oleodinamici) per l’installazione di connettori e per la tranciatura di cavi. I prodotti sviluppati per la connessione alla rotaia e per altre applicazioni ferroviarie sono stati adottati dalle principali società del settore in tutto il mondo.</w:t>
      </w:r>
    </w:p>
    <w:p w:rsidR="00B04C31" w:rsidRDefault="00B04C31" w:rsidP="00B04C31">
      <w:pPr>
        <w:pStyle w:val="Corpodeltesto2"/>
      </w:pPr>
      <w:r w:rsidRPr="009D0D89">
        <w:t>Cembre ha saputo conquistare questi primati grazie alla ricerca continua di prodotti innovativi e di elevato standard qualitativo, alla gamma di prodotti vasta e completa, ad una rete distributiva capillare ed estesa sia in Italia sia all’estero.</w:t>
      </w:r>
    </w:p>
    <w:p w:rsidR="00B04C31" w:rsidRDefault="00B04C31" w:rsidP="00B04C31">
      <w:pPr>
        <w:pStyle w:val="Corpodeltesto2"/>
      </w:pPr>
      <w:r>
        <w:t xml:space="preserve">Fondato a Brescia nel 1969, il Gruppo Cembre è oggi una realtà internazionale. Alla capogruppo con sede a Brescia si affiancano infatti cinque società controllate: quattro commerciali (Germania, Francia, Spagna e Stati Uniti) e una produttiva e commerciale (Cembre Ltd, con sede a Birmingham), per un totale di </w:t>
      </w:r>
      <w:r w:rsidR="00F23C50">
        <w:t>8</w:t>
      </w:r>
      <w:r w:rsidR="004E1669">
        <w:t>77</w:t>
      </w:r>
      <w:r>
        <w:t xml:space="preserve"> dipendenti (dato aggiornato al 30 </w:t>
      </w:r>
      <w:r w:rsidR="006F4C25">
        <w:t>settembre</w:t>
      </w:r>
      <w:r>
        <w:t xml:space="preserve"> 202</w:t>
      </w:r>
      <w:r w:rsidR="00FF3395">
        <w:t>3</w:t>
      </w:r>
      <w:r>
        <w:t>).</w:t>
      </w:r>
      <w:r w:rsidRPr="00CA465E">
        <w:t xml:space="preserve"> Il Sistema di Gestione per </w:t>
      </w:r>
      <w:smartTag w:uri="urn:schemas-microsoft-com:office:smarttags" w:element="PersonName">
        <w:smartTagPr>
          <w:attr w:name="ProductID" w:val="la Qualit￠ Cembre"/>
        </w:smartTagPr>
        <w:r w:rsidRPr="00CA465E">
          <w:t>la Qualità Cembre</w:t>
        </w:r>
      </w:smartTag>
      <w:r w:rsidRPr="00CA465E">
        <w:t xml:space="preserve"> è certificato dal 1990 dal Lloyd’s </w:t>
      </w:r>
      <w:proofErr w:type="spellStart"/>
      <w:r w:rsidRPr="00CA465E">
        <w:t>Register</w:t>
      </w:r>
      <w:proofErr w:type="spellEnd"/>
      <w:r w:rsidRPr="00CA465E">
        <w:t xml:space="preserve"> </w:t>
      </w:r>
      <w:proofErr w:type="spellStart"/>
      <w:r w:rsidRPr="00CA465E">
        <w:t>Quality</w:t>
      </w:r>
      <w:proofErr w:type="spellEnd"/>
      <w:r w:rsidRPr="00CA465E">
        <w:t xml:space="preserve"> Assurance per la progettazione, produzione e commercializzazione di accessori per cavi, connettori elettrici e relativi utensili.</w:t>
      </w:r>
    </w:p>
    <w:p w:rsidR="00B04C31" w:rsidRDefault="00B04C31" w:rsidP="00B04C31">
      <w:pPr>
        <w:jc w:val="both"/>
        <w:rPr>
          <w:i/>
        </w:rPr>
      </w:pPr>
      <w:r>
        <w:rPr>
          <w:i/>
        </w:rPr>
        <w:t xml:space="preserve">Cembre è quotata alla Borsa Italiana dal 15 dicembre 1997 e dal 24 settembre 2001 al segmento Star. </w:t>
      </w:r>
    </w:p>
    <w:p w:rsidR="00B04C31" w:rsidRDefault="00B04C31" w:rsidP="00B04C31">
      <w:pPr>
        <w:jc w:val="both"/>
        <w:rPr>
          <w:i/>
        </w:rPr>
      </w:pPr>
    </w:p>
    <w:p w:rsidR="00B04C31" w:rsidRPr="009D0D89" w:rsidRDefault="00B04C31" w:rsidP="00B04C31">
      <w:pPr>
        <w:jc w:val="both"/>
        <w:rPr>
          <w:u w:val="single"/>
        </w:rPr>
      </w:pPr>
      <w:r>
        <w:rPr>
          <w:u w:val="single"/>
        </w:rPr>
        <w:t>Contatti:</w:t>
      </w:r>
    </w:p>
    <w:p w:rsidR="00B04C31" w:rsidRPr="009D0D89" w:rsidRDefault="00B04C31" w:rsidP="00B04C31">
      <w:pPr>
        <w:rPr>
          <w:i/>
          <w:iCs/>
        </w:rPr>
      </w:pPr>
    </w:p>
    <w:p w:rsidR="00B04C31" w:rsidRPr="009D0D89" w:rsidRDefault="00B04C31" w:rsidP="00B04C31">
      <w:pPr>
        <w:rPr>
          <w:i/>
          <w:iCs/>
        </w:rPr>
      </w:pPr>
      <w:r w:rsidRPr="009D0D89">
        <w:rPr>
          <w:i/>
          <w:iCs/>
        </w:rPr>
        <w:t>Claudio Bornati (Cembre S.p.A.)</w:t>
      </w:r>
      <w:r w:rsidRPr="009D0D89">
        <w:rPr>
          <w:i/>
          <w:iCs/>
        </w:rPr>
        <w:tab/>
        <w:t xml:space="preserve">030/36921    </w:t>
      </w:r>
      <w:hyperlink r:id="rId7" w:history="1">
        <w:r w:rsidRPr="004A7CA8">
          <w:rPr>
            <w:rStyle w:val="Collegamentoipertestuale"/>
            <w:i/>
            <w:iCs/>
          </w:rPr>
          <w:t>claudio.bornati@cembre.com</w:t>
        </w:r>
      </w:hyperlink>
    </w:p>
    <w:p w:rsidR="00B04C31" w:rsidRDefault="00B04C31" w:rsidP="00B04C31">
      <w:pPr>
        <w:jc w:val="both"/>
      </w:pPr>
      <w:r w:rsidRPr="002F3318">
        <w:t xml:space="preserve">Per ulteriori approfondimenti visitate la sezione Investor relations del sito </w:t>
      </w:r>
      <w:hyperlink r:id="rId8" w:history="1">
        <w:r w:rsidRPr="000E3DD9">
          <w:rPr>
            <w:rStyle w:val="Collegamentoipertestuale"/>
          </w:rPr>
          <w:t>www.cembre.com</w:t>
        </w:r>
      </w:hyperlink>
    </w:p>
    <w:p w:rsidR="00B04C31" w:rsidRDefault="00B04C31" w:rsidP="00B04C31"/>
    <w:p w:rsidR="00B04C31" w:rsidRPr="00122F1B" w:rsidRDefault="00B04C31" w:rsidP="00B04C31">
      <w:pPr>
        <w:autoSpaceDE w:val="0"/>
        <w:autoSpaceDN w:val="0"/>
        <w:adjustRightInd w:val="0"/>
        <w:jc w:val="both"/>
      </w:pPr>
      <w:r>
        <w:rPr>
          <w:b/>
          <w:bCs/>
        </w:rPr>
        <w:t>Il D</w:t>
      </w:r>
      <w:r w:rsidRPr="00122F1B">
        <w:rPr>
          <w:b/>
          <w:bCs/>
        </w:rPr>
        <w:t>irigente preposto alla redazione dei documenti contabili societari</w:t>
      </w:r>
      <w:r>
        <w:rPr>
          <w:b/>
          <w:bCs/>
        </w:rPr>
        <w:t xml:space="preserve">, </w:t>
      </w:r>
      <w:r w:rsidRPr="00122F1B">
        <w:rPr>
          <w:b/>
          <w:bCs/>
        </w:rPr>
        <w:t>Claudio Bornati</w:t>
      </w:r>
      <w:r>
        <w:rPr>
          <w:b/>
          <w:bCs/>
        </w:rPr>
        <w:t>,</w:t>
      </w:r>
      <w:r w:rsidRPr="00122F1B">
        <w:rPr>
          <w:b/>
          <w:bCs/>
        </w:rPr>
        <w:t xml:space="preserve"> dichiara</w:t>
      </w:r>
      <w:r>
        <w:rPr>
          <w:b/>
          <w:bCs/>
        </w:rPr>
        <w:t>,</w:t>
      </w:r>
      <w:r w:rsidRPr="00122F1B">
        <w:rPr>
          <w:b/>
          <w:bCs/>
        </w:rPr>
        <w:t xml:space="preserve"> ai sensi del comma 2 articolo 154 bis del Testo Unico della Finanza</w:t>
      </w:r>
      <w:r>
        <w:rPr>
          <w:b/>
          <w:bCs/>
        </w:rPr>
        <w:t>,</w:t>
      </w:r>
      <w:r w:rsidRPr="00122F1B">
        <w:rPr>
          <w:b/>
          <w:bCs/>
        </w:rPr>
        <w:t xml:space="preserve"> che l’informativa contabile contenuta nel presente comunicato corrisponde alle risultanze documentali, ai libri ed alle scritture contabili.</w:t>
      </w:r>
    </w:p>
    <w:p w:rsidR="00B04C31" w:rsidRDefault="00B04C31" w:rsidP="00B04C31"/>
    <w:p w:rsidR="00B04C31" w:rsidRDefault="006F4C25" w:rsidP="00B04C31">
      <w:pPr>
        <w:jc w:val="both"/>
        <w:rPr>
          <w:b/>
          <w:bCs/>
          <w:szCs w:val="20"/>
        </w:rPr>
      </w:pPr>
      <w:r w:rsidRPr="00D33A3D">
        <w:rPr>
          <w:b/>
          <w:bCs/>
          <w:szCs w:val="20"/>
        </w:rPr>
        <w:t>Allegati i prospetti contabili consolidati relativi alla Re</w:t>
      </w:r>
      <w:r>
        <w:rPr>
          <w:b/>
          <w:bCs/>
          <w:szCs w:val="20"/>
        </w:rPr>
        <w:t>soconto intermedio di gestione al 30 settembre</w:t>
      </w:r>
      <w:r w:rsidRPr="00D33A3D">
        <w:rPr>
          <w:b/>
          <w:bCs/>
          <w:szCs w:val="20"/>
        </w:rPr>
        <w:t xml:space="preserve"> 20</w:t>
      </w:r>
      <w:r>
        <w:rPr>
          <w:b/>
          <w:bCs/>
          <w:szCs w:val="20"/>
        </w:rPr>
        <w:t>2</w:t>
      </w:r>
      <w:r w:rsidR="00FF3395">
        <w:rPr>
          <w:b/>
          <w:bCs/>
          <w:szCs w:val="20"/>
        </w:rPr>
        <w:t>3</w:t>
      </w:r>
      <w:r>
        <w:rPr>
          <w:b/>
          <w:bCs/>
          <w:szCs w:val="20"/>
        </w:rPr>
        <w:t>.</w:t>
      </w:r>
    </w:p>
    <w:p w:rsidR="006F4C25" w:rsidRDefault="006F4C25" w:rsidP="00B04C31">
      <w:pPr>
        <w:jc w:val="both"/>
        <w:rPr>
          <w:bCs/>
          <w:szCs w:val="20"/>
        </w:rPr>
      </w:pPr>
    </w:p>
    <w:p w:rsidR="00B04C31" w:rsidRDefault="00B04C31" w:rsidP="00B04C31">
      <w:pPr>
        <w:jc w:val="both"/>
      </w:pPr>
      <w:r w:rsidRPr="004731A6">
        <w:t>Nel presente comunicato vengono utilizzati alcuni “indicatori alternativi di performance” non previsti dai principi contabili internazionali IFRS, il cui significato e contenuto, in linea con le raccomandazioni contenute negli orientamenti ESMA/2015/1415 del 5 ottobre 2015, sono illustrati di seguito:</w:t>
      </w:r>
    </w:p>
    <w:p w:rsidR="00B04C31" w:rsidRDefault="00B04C31" w:rsidP="00B04C31">
      <w:pPr>
        <w:jc w:val="both"/>
      </w:pPr>
    </w:p>
    <w:p w:rsidR="00B04C31" w:rsidRPr="00DC0623" w:rsidRDefault="00B04C31" w:rsidP="00B04C31">
      <w:pPr>
        <w:tabs>
          <w:tab w:val="right" w:pos="5387"/>
          <w:tab w:val="left" w:pos="7513"/>
        </w:tabs>
        <w:jc w:val="both"/>
      </w:pPr>
      <w:r w:rsidRPr="00DC0623">
        <w:rPr>
          <w:i/>
          <w:u w:val="single"/>
        </w:rPr>
        <w:t>Risultato Operativo Lordo (EBITDA)</w:t>
      </w:r>
      <w:r w:rsidRPr="00DC0623">
        <w:rPr>
          <w:i/>
        </w:rPr>
        <w:t>:</w:t>
      </w:r>
      <w:r w:rsidRPr="00DC0623">
        <w:t xml:space="preserve"> definito come la differenza tra i ricavi di vendita ed i costi relativi al consumo di materiali, al costo per servizi, al costo del lavoro ed al saldo netto di proventi/oneri operativi. Rappresenta il margine realizzato ante ammortamenti, gestione finanziaria ed imposte.</w:t>
      </w:r>
    </w:p>
    <w:p w:rsidR="00B04C31" w:rsidRPr="00DC0623" w:rsidRDefault="00B04C31" w:rsidP="00B04C31">
      <w:pPr>
        <w:tabs>
          <w:tab w:val="right" w:pos="5387"/>
          <w:tab w:val="left" w:pos="7513"/>
        </w:tabs>
        <w:jc w:val="both"/>
      </w:pPr>
      <w:r w:rsidRPr="00DC0623">
        <w:rPr>
          <w:i/>
          <w:u w:val="single"/>
        </w:rPr>
        <w:t>Risultato Operativo (EBIT)</w:t>
      </w:r>
      <w:r w:rsidRPr="00DC0623">
        <w:rPr>
          <w:i/>
        </w:rPr>
        <w:t xml:space="preserve">: </w:t>
      </w:r>
      <w:r w:rsidRPr="00DC0623">
        <w:t>definito come la differenza tra il Risultato Operativo Lordo ed il valore degli ammortamenti/svalutazioni. Rappresenta il margine realizzato prima della gestione finanziaria e delle imposte.</w:t>
      </w:r>
    </w:p>
    <w:p w:rsidR="0044040C" w:rsidRPr="0044040C" w:rsidRDefault="00B04C31" w:rsidP="0044040C">
      <w:pPr>
        <w:rPr>
          <w:rFonts w:ascii="Century Gothic" w:hAnsi="Century Gothic"/>
        </w:rPr>
      </w:pPr>
      <w:r w:rsidRPr="00DC0623">
        <w:rPr>
          <w:i/>
          <w:u w:val="single"/>
        </w:rPr>
        <w:t>Posizione Finanziaria Netta</w:t>
      </w:r>
      <w:r w:rsidRPr="00DC0623">
        <w:rPr>
          <w:i/>
        </w:rPr>
        <w:t xml:space="preserve">: </w:t>
      </w:r>
      <w:r w:rsidRPr="00DC0623">
        <w:t>rappresenta la somma algebrica tra disponibilità liquide, crediti finanziari e debiti finanziari correnti e non correnti.</w:t>
      </w:r>
    </w:p>
    <w:p w:rsidR="0044040C" w:rsidRPr="0044040C" w:rsidRDefault="0044040C" w:rsidP="0044040C">
      <w:pPr>
        <w:rPr>
          <w:rFonts w:ascii="Century Gothic" w:hAnsi="Century Gothic"/>
        </w:rPr>
      </w:pPr>
    </w:p>
    <w:p w:rsidR="0044040C" w:rsidRPr="0044040C" w:rsidRDefault="00107BCD" w:rsidP="002F293A">
      <w:pPr>
        <w:jc w:val="both"/>
        <w:rPr>
          <w:rFonts w:ascii="Century Gothic" w:hAnsi="Century Gothic"/>
        </w:rPr>
      </w:pPr>
      <w:r w:rsidRPr="00107BCD">
        <w:rPr>
          <w:szCs w:val="20"/>
        </w:rPr>
        <w:t>Si precisa che il Resoconto intermedio di gestione non è stato oggetto di attività di revisione contabile.</w:t>
      </w:r>
    </w:p>
    <w:sectPr w:rsidR="0044040C" w:rsidRPr="0044040C" w:rsidSect="00DC55CE">
      <w:headerReference w:type="default" r:id="rId9"/>
      <w:headerReference w:type="first" r:id="rId10"/>
      <w:footerReference w:type="first" r:id="rId11"/>
      <w:pgSz w:w="11906" w:h="16838" w:code="9"/>
      <w:pgMar w:top="2552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63" w:rsidRDefault="00250163" w:rsidP="00BC70C6">
      <w:r>
        <w:separator/>
      </w:r>
    </w:p>
  </w:endnote>
  <w:endnote w:type="continuationSeparator" w:id="0">
    <w:p w:rsidR="00250163" w:rsidRDefault="00250163" w:rsidP="00BC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C6" w:rsidRDefault="004D0770" w:rsidP="003A7581">
    <w:pPr>
      <w:pStyle w:val="Pidipagina"/>
      <w:jc w:val="center"/>
    </w:pPr>
    <w:r>
      <w:rPr>
        <w:noProof/>
        <w:lang w:val="it-IT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-711835</wp:posOffset>
          </wp:positionH>
          <wp:positionV relativeFrom="margin">
            <wp:posOffset>8096250</wp:posOffset>
          </wp:positionV>
          <wp:extent cx="7560000" cy="950687"/>
          <wp:effectExtent l="0" t="0" r="317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B_letterhead_IT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63" w:rsidRDefault="00250163" w:rsidP="00BC70C6">
      <w:r>
        <w:separator/>
      </w:r>
    </w:p>
  </w:footnote>
  <w:footnote w:type="continuationSeparator" w:id="0">
    <w:p w:rsidR="00250163" w:rsidRDefault="00250163" w:rsidP="00BC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1EE" w:rsidRDefault="00A94F70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-721360</wp:posOffset>
          </wp:positionH>
          <wp:positionV relativeFrom="margin">
            <wp:posOffset>-1599565</wp:posOffset>
          </wp:positionV>
          <wp:extent cx="7560000" cy="1402498"/>
          <wp:effectExtent l="0" t="0" r="3175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B_letterhead_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02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C6" w:rsidRDefault="00A94F70" w:rsidP="00BC70C6">
    <w:pPr>
      <w:pStyle w:val="Intestazione"/>
      <w:jc w:val="center"/>
    </w:pPr>
    <w:r>
      <w:rPr>
        <w:noProof/>
        <w:lang w:val="it-IT"/>
      </w:rPr>
      <w:drawing>
        <wp:anchor distT="0" distB="0" distL="114300" distR="114300" simplePos="0" relativeHeight="251673600" behindDoc="0" locked="0" layoutInCell="1" allowOverlap="1" wp14:anchorId="301A69F0" wp14:editId="005ED9C8">
          <wp:simplePos x="0" y="0"/>
          <wp:positionH relativeFrom="margin">
            <wp:posOffset>-740410</wp:posOffset>
          </wp:positionH>
          <wp:positionV relativeFrom="margin">
            <wp:posOffset>-1601470</wp:posOffset>
          </wp:positionV>
          <wp:extent cx="7560000" cy="1402498"/>
          <wp:effectExtent l="0" t="0" r="3175" b="762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B_letterhead_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02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5FF5"/>
    <w:multiLevelType w:val="hybridMultilevel"/>
    <w:tmpl w:val="F0385ABA"/>
    <w:lvl w:ilvl="0" w:tplc="9C865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9C2"/>
    <w:multiLevelType w:val="hybridMultilevel"/>
    <w:tmpl w:val="6BFE4B5A"/>
    <w:lvl w:ilvl="0" w:tplc="F1A01F3E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31"/>
    <w:rsid w:val="000637B3"/>
    <w:rsid w:val="00105A59"/>
    <w:rsid w:val="00107BCD"/>
    <w:rsid w:val="0011429E"/>
    <w:rsid w:val="001422CB"/>
    <w:rsid w:val="001C7C82"/>
    <w:rsid w:val="001C7E08"/>
    <w:rsid w:val="001D077E"/>
    <w:rsid w:val="00216A83"/>
    <w:rsid w:val="00246643"/>
    <w:rsid w:val="00250163"/>
    <w:rsid w:val="0026562A"/>
    <w:rsid w:val="002F293A"/>
    <w:rsid w:val="002F44C0"/>
    <w:rsid w:val="00370FC9"/>
    <w:rsid w:val="00394248"/>
    <w:rsid w:val="003A7581"/>
    <w:rsid w:val="003C56E0"/>
    <w:rsid w:val="0044040C"/>
    <w:rsid w:val="00451EE0"/>
    <w:rsid w:val="00496DF2"/>
    <w:rsid w:val="004A2E9F"/>
    <w:rsid w:val="004A38F5"/>
    <w:rsid w:val="004A7D47"/>
    <w:rsid w:val="004D0770"/>
    <w:rsid w:val="004E1669"/>
    <w:rsid w:val="004E4DB0"/>
    <w:rsid w:val="004F4071"/>
    <w:rsid w:val="0055340A"/>
    <w:rsid w:val="00566B9A"/>
    <w:rsid w:val="005758AE"/>
    <w:rsid w:val="00576A1C"/>
    <w:rsid w:val="005920F5"/>
    <w:rsid w:val="005B5CB9"/>
    <w:rsid w:val="005F75B2"/>
    <w:rsid w:val="006A0DE7"/>
    <w:rsid w:val="006F4C25"/>
    <w:rsid w:val="00701A85"/>
    <w:rsid w:val="007036E9"/>
    <w:rsid w:val="00714305"/>
    <w:rsid w:val="00721322"/>
    <w:rsid w:val="00725366"/>
    <w:rsid w:val="00726FEE"/>
    <w:rsid w:val="00757FF7"/>
    <w:rsid w:val="007604B6"/>
    <w:rsid w:val="00784264"/>
    <w:rsid w:val="007A2D6C"/>
    <w:rsid w:val="007D10E6"/>
    <w:rsid w:val="00826432"/>
    <w:rsid w:val="009104A7"/>
    <w:rsid w:val="00914EA3"/>
    <w:rsid w:val="0099030A"/>
    <w:rsid w:val="009A2CB6"/>
    <w:rsid w:val="009B316B"/>
    <w:rsid w:val="00A0032A"/>
    <w:rsid w:val="00A127A7"/>
    <w:rsid w:val="00A15753"/>
    <w:rsid w:val="00A461EE"/>
    <w:rsid w:val="00A47BDF"/>
    <w:rsid w:val="00A94F70"/>
    <w:rsid w:val="00B04C31"/>
    <w:rsid w:val="00B247FF"/>
    <w:rsid w:val="00B41E5D"/>
    <w:rsid w:val="00B67DB5"/>
    <w:rsid w:val="00B7164D"/>
    <w:rsid w:val="00B74D9B"/>
    <w:rsid w:val="00BC292E"/>
    <w:rsid w:val="00BC70C6"/>
    <w:rsid w:val="00BE4322"/>
    <w:rsid w:val="00BF28E0"/>
    <w:rsid w:val="00BF5211"/>
    <w:rsid w:val="00C67207"/>
    <w:rsid w:val="00C76DDD"/>
    <w:rsid w:val="00CA1FB0"/>
    <w:rsid w:val="00D14255"/>
    <w:rsid w:val="00D26C3E"/>
    <w:rsid w:val="00DB714C"/>
    <w:rsid w:val="00DC1FBC"/>
    <w:rsid w:val="00DC55CE"/>
    <w:rsid w:val="00DC72EC"/>
    <w:rsid w:val="00DE2584"/>
    <w:rsid w:val="00E16FBC"/>
    <w:rsid w:val="00E40874"/>
    <w:rsid w:val="00E60F17"/>
    <w:rsid w:val="00E728FD"/>
    <w:rsid w:val="00E95F3A"/>
    <w:rsid w:val="00EB21BD"/>
    <w:rsid w:val="00EC504A"/>
    <w:rsid w:val="00EF6F64"/>
    <w:rsid w:val="00F23C50"/>
    <w:rsid w:val="00F353A1"/>
    <w:rsid w:val="00F73D6C"/>
    <w:rsid w:val="00FB1650"/>
    <w:rsid w:val="00FB4404"/>
    <w:rsid w:val="00FC274B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61B94D62"/>
  <w15:chartTrackingRefBased/>
  <w15:docId w15:val="{893AC07A-C2D2-45D5-918D-1208E000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B04C31"/>
    <w:pPr>
      <w:keepNext/>
      <w:jc w:val="center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B04C31"/>
    <w:pPr>
      <w:keepNext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B04C31"/>
    <w:pPr>
      <w:keepNext/>
      <w:outlineLvl w:val="4"/>
    </w:pPr>
    <w:rPr>
      <w:rFonts w:ascii="Geneva" w:eastAsia="Arial Unicode MS" w:hAnsi="Geneva" w:cs="Arial Unicode MS"/>
      <w:b/>
      <w:bCs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70C6"/>
    <w:pPr>
      <w:tabs>
        <w:tab w:val="center" w:pos="4680"/>
        <w:tab w:val="right" w:pos="9360"/>
      </w:tabs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0C6"/>
  </w:style>
  <w:style w:type="paragraph" w:styleId="Pidipagina">
    <w:name w:val="footer"/>
    <w:basedOn w:val="Normale"/>
    <w:link w:val="PidipaginaCarattere"/>
    <w:uiPriority w:val="99"/>
    <w:unhideWhenUsed/>
    <w:rsid w:val="00BC70C6"/>
    <w:pPr>
      <w:tabs>
        <w:tab w:val="center" w:pos="4680"/>
        <w:tab w:val="right" w:pos="9360"/>
      </w:tabs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0C6"/>
  </w:style>
  <w:style w:type="table" w:styleId="Grigliatabella">
    <w:name w:val="Table Grid"/>
    <w:basedOn w:val="Tabellanormale"/>
    <w:uiPriority w:val="39"/>
    <w:rsid w:val="00B247F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7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7FF"/>
    <w:rPr>
      <w:rFonts w:ascii="Segoe UI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3C56E0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B04C3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04C31"/>
    <w:rPr>
      <w:rFonts w:ascii="Times New Roman" w:eastAsia="Times New Roman" w:hAnsi="Times New Roman" w:cs="Times New Roman"/>
      <w:b/>
      <w:bCs/>
      <w:sz w:val="24"/>
      <w:szCs w:val="24"/>
      <w:u w:val="single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B04C31"/>
    <w:rPr>
      <w:rFonts w:ascii="Geneva" w:eastAsia="Arial Unicode MS" w:hAnsi="Geneva" w:cs="Arial Unicode MS"/>
      <w:b/>
      <w:bCs/>
      <w:sz w:val="20"/>
      <w:szCs w:val="20"/>
      <w:u w:val="single"/>
      <w:lang w:val="it-IT" w:eastAsia="it-IT"/>
    </w:rPr>
  </w:style>
  <w:style w:type="paragraph" w:customStyle="1" w:styleId="xl26">
    <w:name w:val="xl26"/>
    <w:basedOn w:val="Normale"/>
    <w:rsid w:val="00B04C31"/>
    <w:pPr>
      <w:spacing w:before="100" w:beforeAutospacing="1" w:after="100" w:afterAutospacing="1"/>
    </w:pPr>
    <w:rPr>
      <w:b/>
      <w:bCs/>
    </w:rPr>
  </w:style>
  <w:style w:type="paragraph" w:styleId="Corpodeltesto2">
    <w:name w:val="Body Text 2"/>
    <w:basedOn w:val="Normale"/>
    <w:link w:val="Corpodeltesto2Carattere"/>
    <w:rsid w:val="00B04C31"/>
    <w:pPr>
      <w:jc w:val="both"/>
    </w:pPr>
    <w:rPr>
      <w:i/>
    </w:rPr>
  </w:style>
  <w:style w:type="character" w:customStyle="1" w:styleId="Corpodeltesto2Carattere">
    <w:name w:val="Corpo del testo 2 Carattere"/>
    <w:basedOn w:val="Carpredefinitoparagrafo"/>
    <w:link w:val="Corpodeltesto2"/>
    <w:rsid w:val="00B04C31"/>
    <w:rPr>
      <w:rFonts w:ascii="Times New Roman" w:eastAsia="Times New Roman" w:hAnsi="Times New Roman" w:cs="Times New Roman"/>
      <w:i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B04C3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B04C3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B04C31"/>
    <w:rPr>
      <w:color w:val="0000FF"/>
      <w:u w:val="single"/>
    </w:rPr>
  </w:style>
  <w:style w:type="paragraph" w:customStyle="1" w:styleId="Normale1">
    <w:name w:val="Normale1"/>
    <w:basedOn w:val="Normale"/>
    <w:rsid w:val="00B04C31"/>
    <w:rPr>
      <w:rFonts w:ascii="New York" w:hAnsi="New York"/>
      <w:color w:val="FF0000"/>
      <w:szCs w:val="20"/>
    </w:rPr>
  </w:style>
  <w:style w:type="paragraph" w:customStyle="1" w:styleId="Normale11">
    <w:name w:val="Normale11"/>
    <w:basedOn w:val="Normale"/>
    <w:rsid w:val="00B04C31"/>
    <w:rPr>
      <w:rFonts w:ascii="New York" w:hAnsi="New York"/>
      <w:color w:val="FF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b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io.bornati@cemb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itbsnas01.cembre.com\Company\Master\IT\Letter\CEMBRE_LETTERHEAD_IT_11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CEMBRE_LETTERHEAD_IT_112020</Template>
  <TotalTime>226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Cembre S.p.A.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Bertella Marco</dc:creator>
  <cp:keywords/>
  <dc:description/>
  <cp:lastModifiedBy>Bornati Claudio</cp:lastModifiedBy>
  <cp:revision>11</cp:revision>
  <cp:lastPrinted>2022-11-14T08:54:00Z</cp:lastPrinted>
  <dcterms:created xsi:type="dcterms:W3CDTF">2023-10-27T08:29:00Z</dcterms:created>
  <dcterms:modified xsi:type="dcterms:W3CDTF">2023-11-10T10:42:00Z</dcterms:modified>
</cp:coreProperties>
</file>