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4C31" w:rsidRPr="007E78BE" w:rsidRDefault="00B04C31" w:rsidP="00B04C31">
      <w:pPr>
        <w:pStyle w:val="Titolo4"/>
        <w:rPr>
          <w:bCs w:val="0"/>
        </w:rPr>
      </w:pPr>
      <w:bookmarkStart w:id="0" w:name="_GoBack"/>
      <w:bookmarkEnd w:id="0"/>
      <w:r>
        <w:t>Press release</w:t>
      </w:r>
    </w:p>
    <w:p w:rsidR="00B04C31" w:rsidRDefault="00B04C31" w:rsidP="00B04C31">
      <w:pPr>
        <w:jc w:val="center"/>
        <w:rPr>
          <w:u w:val="single"/>
        </w:rPr>
      </w:pPr>
    </w:p>
    <w:p w:rsidR="00B04C31" w:rsidRDefault="00B04C31" w:rsidP="00B04C31">
      <w:pPr>
        <w:jc w:val="center"/>
        <w:rPr>
          <w:u w:val="single"/>
        </w:rPr>
      </w:pPr>
      <w:r>
        <w:rPr>
          <w:u w:val="single"/>
        </w:rPr>
        <w:t>The Board of Directors has approved the Interim Report on Operations as at September 30, 2023</w:t>
      </w:r>
    </w:p>
    <w:p w:rsidR="00B04C31" w:rsidRPr="007E78BE" w:rsidRDefault="00B04C31" w:rsidP="00B04C31">
      <w:pPr>
        <w:jc w:val="center"/>
        <w:rPr>
          <w:u w:val="single"/>
        </w:rPr>
      </w:pPr>
    </w:p>
    <w:p w:rsidR="00B04C31" w:rsidRPr="00B04C31" w:rsidRDefault="00B04C31" w:rsidP="00B04C31">
      <w:pPr>
        <w:pStyle w:val="Titolo1"/>
        <w:rPr>
          <w:bCs w:val="0"/>
          <w:sz w:val="26"/>
          <w:szCs w:val="26"/>
        </w:rPr>
      </w:pPr>
      <w:r>
        <w:rPr>
          <w:sz w:val="26"/>
        </w:rPr>
        <w:t>Cembre (Euronext STAR): consolidated turnover up +13.5% in the first nine months of the year compared to the first nine months of 2022</w:t>
      </w:r>
    </w:p>
    <w:p w:rsidR="00B04C31" w:rsidRPr="0069369A" w:rsidRDefault="00B04C31" w:rsidP="00B04C31">
      <w:pPr>
        <w:jc w:val="both"/>
      </w:pPr>
    </w:p>
    <w:p w:rsidR="00B04C31" w:rsidRPr="0069369A" w:rsidRDefault="00B7164D" w:rsidP="00B04C31">
      <w:pPr>
        <w:numPr>
          <w:ilvl w:val="0"/>
          <w:numId w:val="2"/>
        </w:numPr>
        <w:spacing w:after="120"/>
        <w:ind w:left="425" w:hanging="425"/>
        <w:jc w:val="both"/>
      </w:pPr>
      <w:r>
        <w:t>In the first 9 months, domestic sales were up +14.9% while sales outside Italy grew by +12.4% compared to the same period of 2022</w:t>
      </w:r>
    </w:p>
    <w:p w:rsidR="00B04C31" w:rsidRPr="0069369A" w:rsidRDefault="00B04C31" w:rsidP="00B04C31">
      <w:pPr>
        <w:numPr>
          <w:ilvl w:val="0"/>
          <w:numId w:val="2"/>
        </w:numPr>
        <w:spacing w:after="120"/>
        <w:ind w:left="425" w:hanging="425"/>
        <w:jc w:val="both"/>
      </w:pPr>
      <w:r>
        <w:t>Pre-tax profit of 25.5% of revenues (up by 31.0% compared to 2022)</w:t>
      </w:r>
    </w:p>
    <w:p w:rsidR="00B04C31" w:rsidRPr="00C44A2C" w:rsidRDefault="00F73D6C" w:rsidP="00B04C31">
      <w:pPr>
        <w:numPr>
          <w:ilvl w:val="0"/>
          <w:numId w:val="2"/>
        </w:numPr>
        <w:spacing w:after="120"/>
        <w:ind w:left="425" w:hanging="425"/>
        <w:jc w:val="both"/>
      </w:pPr>
      <w:r w:rsidRPr="00C44A2C">
        <w:t xml:space="preserve">As at October 31, 2023, consolidated revenues recorded growth of </w:t>
      </w:r>
      <w:r w:rsidR="00C44A2C" w:rsidRPr="00C44A2C">
        <w:t>12.9</w:t>
      </w:r>
      <w:r w:rsidRPr="00C44A2C">
        <w:t>% compared to the first ten months of 2022</w:t>
      </w:r>
    </w:p>
    <w:p w:rsidR="00B04C31" w:rsidRPr="0069369A" w:rsidRDefault="00B04C31" w:rsidP="00B04C31">
      <w:pPr>
        <w:jc w:val="both"/>
      </w:pPr>
    </w:p>
    <w:tbl>
      <w:tblPr>
        <w:tblW w:w="9923" w:type="dxa"/>
        <w:jc w:val="center"/>
        <w:tblLayout w:type="fixed"/>
        <w:tblCellMar>
          <w:left w:w="0" w:type="dxa"/>
          <w:right w:w="0" w:type="dxa"/>
        </w:tblCellMar>
        <w:tblLook w:val="0000" w:firstRow="0" w:lastRow="0" w:firstColumn="0" w:lastColumn="0" w:noHBand="0" w:noVBand="0"/>
      </w:tblPr>
      <w:tblGrid>
        <w:gridCol w:w="2694"/>
        <w:gridCol w:w="737"/>
        <w:gridCol w:w="691"/>
        <w:gridCol w:w="851"/>
        <w:gridCol w:w="708"/>
        <w:gridCol w:w="726"/>
        <w:gridCol w:w="812"/>
        <w:gridCol w:w="628"/>
        <w:gridCol w:w="828"/>
        <w:gridCol w:w="540"/>
        <w:gridCol w:w="708"/>
      </w:tblGrid>
      <w:tr w:rsidR="00F73D6C" w:rsidTr="00C44A2C">
        <w:trPr>
          <w:trHeight w:val="510"/>
          <w:jc w:val="center"/>
        </w:trPr>
        <w:tc>
          <w:tcPr>
            <w:tcW w:w="2694" w:type="dxa"/>
            <w:tcBorders>
              <w:top w:val="nil"/>
              <w:left w:val="nil"/>
              <w:bottom w:val="nil"/>
              <w:right w:val="nil"/>
            </w:tcBorders>
          </w:tcPr>
          <w:p w:rsidR="00F73D6C" w:rsidRDefault="00F73D6C" w:rsidP="00B67473">
            <w:pPr>
              <w:rPr>
                <w:rFonts w:eastAsia="Arial Unicode MS"/>
                <w:sz w:val="20"/>
                <w:szCs w:val="20"/>
              </w:rPr>
            </w:pPr>
            <w:r>
              <w:rPr>
                <w:sz w:val="20"/>
              </w:rPr>
              <w:t>(euro ‘000)</w:t>
            </w:r>
          </w:p>
        </w:tc>
        <w:tc>
          <w:tcPr>
            <w:tcW w:w="737" w:type="dxa"/>
            <w:tcBorders>
              <w:top w:val="nil"/>
              <w:left w:val="nil"/>
              <w:bottom w:val="nil"/>
              <w:right w:val="nil"/>
            </w:tcBorders>
          </w:tcPr>
          <w:p w:rsidR="00F73D6C" w:rsidRDefault="00FC274B" w:rsidP="00B67473">
            <w:pPr>
              <w:jc w:val="center"/>
              <w:rPr>
                <w:rFonts w:eastAsia="Arial Unicode MS"/>
                <w:b/>
                <w:bCs/>
                <w:sz w:val="20"/>
                <w:szCs w:val="20"/>
              </w:rPr>
            </w:pPr>
            <w:r>
              <w:rPr>
                <w:b/>
                <w:sz w:val="20"/>
              </w:rPr>
              <w:t>1/1-9/30 2023</w:t>
            </w:r>
          </w:p>
        </w:tc>
        <w:tc>
          <w:tcPr>
            <w:tcW w:w="691" w:type="dxa"/>
            <w:tcBorders>
              <w:top w:val="nil"/>
              <w:left w:val="nil"/>
              <w:bottom w:val="nil"/>
              <w:right w:val="nil"/>
            </w:tcBorders>
          </w:tcPr>
          <w:p w:rsidR="00F73D6C" w:rsidRDefault="00F73D6C" w:rsidP="00B67473">
            <w:pPr>
              <w:jc w:val="center"/>
              <w:rPr>
                <w:rFonts w:eastAsia="Arial Unicode MS"/>
                <w:b/>
                <w:bCs/>
                <w:sz w:val="20"/>
                <w:szCs w:val="20"/>
              </w:rPr>
            </w:pPr>
            <w:r>
              <w:rPr>
                <w:b/>
                <w:sz w:val="20"/>
              </w:rPr>
              <w:t>Marg.</w:t>
            </w:r>
          </w:p>
        </w:tc>
        <w:tc>
          <w:tcPr>
            <w:tcW w:w="851" w:type="dxa"/>
            <w:tcBorders>
              <w:top w:val="nil"/>
              <w:left w:val="nil"/>
              <w:bottom w:val="nil"/>
              <w:right w:val="nil"/>
            </w:tcBorders>
          </w:tcPr>
          <w:p w:rsidR="00F73D6C" w:rsidRDefault="00FC274B" w:rsidP="00B67473">
            <w:pPr>
              <w:jc w:val="center"/>
              <w:rPr>
                <w:rFonts w:eastAsia="Arial Unicode MS"/>
                <w:b/>
                <w:bCs/>
                <w:sz w:val="20"/>
                <w:szCs w:val="20"/>
              </w:rPr>
            </w:pPr>
            <w:r>
              <w:rPr>
                <w:b/>
                <w:sz w:val="20"/>
              </w:rPr>
              <w:t>1/1-9/30 2022</w:t>
            </w:r>
          </w:p>
        </w:tc>
        <w:tc>
          <w:tcPr>
            <w:tcW w:w="708" w:type="dxa"/>
            <w:tcBorders>
              <w:top w:val="nil"/>
              <w:left w:val="nil"/>
              <w:bottom w:val="nil"/>
              <w:right w:val="nil"/>
            </w:tcBorders>
          </w:tcPr>
          <w:p w:rsidR="00F73D6C" w:rsidRDefault="00F73D6C" w:rsidP="00B67473">
            <w:pPr>
              <w:jc w:val="center"/>
              <w:rPr>
                <w:rFonts w:eastAsia="Arial Unicode MS"/>
                <w:b/>
                <w:bCs/>
                <w:sz w:val="20"/>
                <w:szCs w:val="20"/>
              </w:rPr>
            </w:pPr>
            <w:r>
              <w:rPr>
                <w:b/>
                <w:sz w:val="20"/>
              </w:rPr>
              <w:t>Marg.</w:t>
            </w:r>
          </w:p>
        </w:tc>
        <w:tc>
          <w:tcPr>
            <w:tcW w:w="726" w:type="dxa"/>
            <w:tcBorders>
              <w:top w:val="nil"/>
              <w:left w:val="nil"/>
              <w:bottom w:val="nil"/>
              <w:right w:val="nil"/>
            </w:tcBorders>
          </w:tcPr>
          <w:p w:rsidR="00F73D6C" w:rsidRPr="00B359FD" w:rsidRDefault="00F73D6C" w:rsidP="00B67473">
            <w:pPr>
              <w:jc w:val="center"/>
              <w:rPr>
                <w:rFonts w:eastAsia="Arial Unicode MS"/>
                <w:b/>
                <w:bCs/>
                <w:i/>
                <w:sz w:val="20"/>
                <w:szCs w:val="20"/>
              </w:rPr>
            </w:pPr>
            <w:r>
              <w:rPr>
                <w:b/>
                <w:i/>
                <w:sz w:val="20"/>
              </w:rPr>
              <w:t>change</w:t>
            </w:r>
          </w:p>
        </w:tc>
        <w:tc>
          <w:tcPr>
            <w:tcW w:w="812" w:type="dxa"/>
            <w:tcBorders>
              <w:top w:val="nil"/>
              <w:left w:val="nil"/>
              <w:bottom w:val="nil"/>
              <w:right w:val="nil"/>
            </w:tcBorders>
          </w:tcPr>
          <w:p w:rsidR="00F73D6C" w:rsidRDefault="00FC274B" w:rsidP="00B67473">
            <w:pPr>
              <w:jc w:val="center"/>
              <w:rPr>
                <w:rFonts w:eastAsia="Arial Unicode MS"/>
                <w:b/>
                <w:bCs/>
                <w:sz w:val="20"/>
                <w:szCs w:val="20"/>
              </w:rPr>
            </w:pPr>
            <w:r>
              <w:rPr>
                <w:b/>
                <w:sz w:val="20"/>
              </w:rPr>
              <w:t>3</w:t>
            </w:r>
            <w:r w:rsidRPr="00C44A2C">
              <w:rPr>
                <w:b/>
                <w:sz w:val="20"/>
                <w:vertAlign w:val="superscript"/>
              </w:rPr>
              <w:t>rd</w:t>
            </w:r>
            <w:r>
              <w:rPr>
                <w:b/>
                <w:sz w:val="20"/>
              </w:rPr>
              <w:t xml:space="preserve"> Qtr. 2023</w:t>
            </w:r>
          </w:p>
        </w:tc>
        <w:tc>
          <w:tcPr>
            <w:tcW w:w="628" w:type="dxa"/>
            <w:tcBorders>
              <w:top w:val="nil"/>
              <w:left w:val="nil"/>
              <w:bottom w:val="nil"/>
              <w:right w:val="nil"/>
            </w:tcBorders>
          </w:tcPr>
          <w:p w:rsidR="00F73D6C" w:rsidRDefault="00F73D6C" w:rsidP="00B67473">
            <w:pPr>
              <w:jc w:val="center"/>
              <w:rPr>
                <w:b/>
                <w:bCs/>
                <w:sz w:val="20"/>
                <w:szCs w:val="20"/>
              </w:rPr>
            </w:pPr>
            <w:r>
              <w:rPr>
                <w:b/>
                <w:sz w:val="20"/>
              </w:rPr>
              <w:t>Marg.</w:t>
            </w:r>
          </w:p>
        </w:tc>
        <w:tc>
          <w:tcPr>
            <w:tcW w:w="828" w:type="dxa"/>
            <w:tcBorders>
              <w:top w:val="nil"/>
              <w:left w:val="nil"/>
              <w:bottom w:val="nil"/>
              <w:right w:val="nil"/>
            </w:tcBorders>
          </w:tcPr>
          <w:p w:rsidR="00F73D6C" w:rsidRDefault="00F73D6C" w:rsidP="00F353A1">
            <w:pPr>
              <w:jc w:val="center"/>
              <w:rPr>
                <w:rFonts w:eastAsia="Arial Unicode MS"/>
                <w:b/>
                <w:bCs/>
                <w:sz w:val="20"/>
                <w:szCs w:val="20"/>
              </w:rPr>
            </w:pPr>
            <w:r>
              <w:rPr>
                <w:b/>
                <w:sz w:val="20"/>
              </w:rPr>
              <w:t>3</w:t>
            </w:r>
            <w:r w:rsidRPr="00C44A2C">
              <w:rPr>
                <w:b/>
                <w:sz w:val="20"/>
                <w:vertAlign w:val="superscript"/>
              </w:rPr>
              <w:t>rd</w:t>
            </w:r>
            <w:r>
              <w:rPr>
                <w:b/>
                <w:sz w:val="20"/>
              </w:rPr>
              <w:t xml:space="preserve"> Qtr. 2022</w:t>
            </w:r>
          </w:p>
        </w:tc>
        <w:tc>
          <w:tcPr>
            <w:tcW w:w="540" w:type="dxa"/>
            <w:tcBorders>
              <w:top w:val="nil"/>
              <w:left w:val="nil"/>
              <w:bottom w:val="nil"/>
              <w:right w:val="nil"/>
            </w:tcBorders>
          </w:tcPr>
          <w:p w:rsidR="00F73D6C" w:rsidRDefault="00F73D6C" w:rsidP="00B67473">
            <w:pPr>
              <w:jc w:val="center"/>
              <w:rPr>
                <w:b/>
                <w:bCs/>
                <w:sz w:val="20"/>
                <w:szCs w:val="20"/>
              </w:rPr>
            </w:pPr>
            <w:r>
              <w:rPr>
                <w:b/>
                <w:sz w:val="20"/>
              </w:rPr>
              <w:t>Marg.</w:t>
            </w:r>
          </w:p>
        </w:tc>
        <w:tc>
          <w:tcPr>
            <w:tcW w:w="708" w:type="dxa"/>
            <w:tcBorders>
              <w:top w:val="nil"/>
              <w:left w:val="nil"/>
              <w:bottom w:val="nil"/>
              <w:right w:val="nil"/>
            </w:tcBorders>
          </w:tcPr>
          <w:p w:rsidR="00F73D6C" w:rsidRPr="00B359FD" w:rsidRDefault="00F73D6C" w:rsidP="00B67473">
            <w:pPr>
              <w:jc w:val="center"/>
              <w:rPr>
                <w:rFonts w:eastAsia="Arial Unicode MS"/>
                <w:b/>
                <w:bCs/>
                <w:i/>
                <w:sz w:val="20"/>
                <w:szCs w:val="20"/>
              </w:rPr>
            </w:pPr>
            <w:r>
              <w:rPr>
                <w:b/>
                <w:i/>
                <w:sz w:val="20"/>
              </w:rPr>
              <w:t>change</w:t>
            </w:r>
          </w:p>
        </w:tc>
      </w:tr>
      <w:tr w:rsidR="00F73D6C" w:rsidTr="00C44A2C">
        <w:trPr>
          <w:trHeight w:val="255"/>
          <w:jc w:val="center"/>
        </w:trPr>
        <w:tc>
          <w:tcPr>
            <w:tcW w:w="2694" w:type="dxa"/>
            <w:tcBorders>
              <w:top w:val="nil"/>
              <w:left w:val="nil"/>
              <w:bottom w:val="nil"/>
              <w:right w:val="nil"/>
            </w:tcBorders>
            <w:noWrap/>
            <w:vAlign w:val="bottom"/>
          </w:tcPr>
          <w:p w:rsidR="00F73D6C" w:rsidRDefault="00F73D6C" w:rsidP="00B67473">
            <w:pPr>
              <w:rPr>
                <w:rFonts w:eastAsia="Arial Unicode MS"/>
                <w:sz w:val="20"/>
                <w:szCs w:val="20"/>
              </w:rPr>
            </w:pPr>
          </w:p>
        </w:tc>
        <w:tc>
          <w:tcPr>
            <w:tcW w:w="737" w:type="dxa"/>
            <w:tcBorders>
              <w:top w:val="nil"/>
              <w:left w:val="nil"/>
              <w:bottom w:val="nil"/>
              <w:right w:val="nil"/>
            </w:tcBorders>
            <w:noWrap/>
            <w:vAlign w:val="bottom"/>
          </w:tcPr>
          <w:p w:rsidR="00F73D6C" w:rsidRDefault="00F73D6C" w:rsidP="00B67473">
            <w:pPr>
              <w:jc w:val="center"/>
              <w:rPr>
                <w:rFonts w:eastAsia="Arial Unicode MS"/>
                <w:b/>
                <w:bCs/>
                <w:sz w:val="20"/>
                <w:szCs w:val="20"/>
              </w:rPr>
            </w:pPr>
          </w:p>
        </w:tc>
        <w:tc>
          <w:tcPr>
            <w:tcW w:w="691" w:type="dxa"/>
            <w:tcBorders>
              <w:top w:val="nil"/>
              <w:left w:val="nil"/>
              <w:bottom w:val="nil"/>
              <w:right w:val="nil"/>
            </w:tcBorders>
            <w:noWrap/>
            <w:vAlign w:val="bottom"/>
          </w:tcPr>
          <w:p w:rsidR="00F73D6C" w:rsidRDefault="00F73D6C" w:rsidP="00B67473">
            <w:pPr>
              <w:jc w:val="center"/>
              <w:rPr>
                <w:rFonts w:eastAsia="Arial Unicode MS"/>
                <w:b/>
                <w:bCs/>
                <w:sz w:val="20"/>
                <w:szCs w:val="20"/>
              </w:rPr>
            </w:pPr>
            <w:r>
              <w:rPr>
                <w:b/>
                <w:sz w:val="20"/>
              </w:rPr>
              <w:t>%</w:t>
            </w:r>
          </w:p>
        </w:tc>
        <w:tc>
          <w:tcPr>
            <w:tcW w:w="851" w:type="dxa"/>
            <w:tcBorders>
              <w:top w:val="nil"/>
              <w:left w:val="nil"/>
              <w:bottom w:val="nil"/>
              <w:right w:val="nil"/>
            </w:tcBorders>
            <w:vAlign w:val="bottom"/>
          </w:tcPr>
          <w:p w:rsidR="00F73D6C" w:rsidRDefault="00F73D6C" w:rsidP="00B67473">
            <w:pPr>
              <w:jc w:val="center"/>
              <w:rPr>
                <w:rFonts w:eastAsia="Arial Unicode MS"/>
                <w:b/>
                <w:bCs/>
                <w:sz w:val="20"/>
                <w:szCs w:val="20"/>
              </w:rPr>
            </w:pPr>
          </w:p>
        </w:tc>
        <w:tc>
          <w:tcPr>
            <w:tcW w:w="708" w:type="dxa"/>
            <w:tcBorders>
              <w:top w:val="nil"/>
              <w:left w:val="nil"/>
              <w:bottom w:val="nil"/>
              <w:right w:val="nil"/>
            </w:tcBorders>
            <w:vAlign w:val="bottom"/>
          </w:tcPr>
          <w:p w:rsidR="00F73D6C" w:rsidRDefault="00F73D6C" w:rsidP="00B67473">
            <w:pPr>
              <w:jc w:val="center"/>
              <w:rPr>
                <w:rFonts w:eastAsia="Arial Unicode MS"/>
                <w:b/>
                <w:bCs/>
                <w:sz w:val="20"/>
                <w:szCs w:val="20"/>
              </w:rPr>
            </w:pPr>
            <w:r>
              <w:rPr>
                <w:b/>
                <w:sz w:val="20"/>
              </w:rPr>
              <w:t>%</w:t>
            </w:r>
          </w:p>
        </w:tc>
        <w:tc>
          <w:tcPr>
            <w:tcW w:w="726" w:type="dxa"/>
            <w:tcBorders>
              <w:top w:val="nil"/>
              <w:left w:val="nil"/>
              <w:bottom w:val="nil"/>
              <w:right w:val="nil"/>
            </w:tcBorders>
            <w:noWrap/>
            <w:vAlign w:val="bottom"/>
          </w:tcPr>
          <w:p w:rsidR="00F73D6C" w:rsidRPr="00B359FD" w:rsidRDefault="00F73D6C" w:rsidP="00B67473">
            <w:pPr>
              <w:jc w:val="center"/>
              <w:rPr>
                <w:rFonts w:eastAsia="Arial Unicode MS"/>
                <w:b/>
                <w:bCs/>
                <w:i/>
                <w:sz w:val="20"/>
                <w:szCs w:val="20"/>
              </w:rPr>
            </w:pPr>
          </w:p>
        </w:tc>
        <w:tc>
          <w:tcPr>
            <w:tcW w:w="812" w:type="dxa"/>
            <w:tcBorders>
              <w:top w:val="nil"/>
              <w:left w:val="nil"/>
              <w:bottom w:val="nil"/>
              <w:right w:val="nil"/>
            </w:tcBorders>
            <w:noWrap/>
            <w:vAlign w:val="bottom"/>
          </w:tcPr>
          <w:p w:rsidR="00F73D6C" w:rsidRDefault="00F73D6C" w:rsidP="00B67473">
            <w:pPr>
              <w:jc w:val="center"/>
              <w:rPr>
                <w:rFonts w:eastAsia="Arial Unicode MS"/>
                <w:b/>
                <w:bCs/>
                <w:sz w:val="20"/>
                <w:szCs w:val="20"/>
              </w:rPr>
            </w:pPr>
          </w:p>
        </w:tc>
        <w:tc>
          <w:tcPr>
            <w:tcW w:w="628" w:type="dxa"/>
            <w:tcBorders>
              <w:top w:val="nil"/>
              <w:left w:val="nil"/>
              <w:bottom w:val="nil"/>
              <w:right w:val="nil"/>
            </w:tcBorders>
          </w:tcPr>
          <w:p w:rsidR="00F73D6C" w:rsidRDefault="00F73D6C" w:rsidP="00B67473">
            <w:pPr>
              <w:jc w:val="center"/>
              <w:rPr>
                <w:rFonts w:eastAsia="Arial Unicode MS"/>
                <w:b/>
                <w:bCs/>
                <w:sz w:val="20"/>
                <w:szCs w:val="20"/>
              </w:rPr>
            </w:pPr>
          </w:p>
        </w:tc>
        <w:tc>
          <w:tcPr>
            <w:tcW w:w="828" w:type="dxa"/>
            <w:tcBorders>
              <w:top w:val="nil"/>
              <w:left w:val="nil"/>
              <w:bottom w:val="nil"/>
              <w:right w:val="nil"/>
            </w:tcBorders>
            <w:vAlign w:val="bottom"/>
          </w:tcPr>
          <w:p w:rsidR="00F73D6C" w:rsidRDefault="00F73D6C" w:rsidP="00B67473">
            <w:pPr>
              <w:jc w:val="center"/>
              <w:rPr>
                <w:rFonts w:eastAsia="Arial Unicode MS"/>
                <w:b/>
                <w:bCs/>
                <w:sz w:val="20"/>
                <w:szCs w:val="20"/>
              </w:rPr>
            </w:pPr>
          </w:p>
        </w:tc>
        <w:tc>
          <w:tcPr>
            <w:tcW w:w="540" w:type="dxa"/>
            <w:tcBorders>
              <w:top w:val="nil"/>
              <w:left w:val="nil"/>
              <w:bottom w:val="nil"/>
              <w:right w:val="nil"/>
            </w:tcBorders>
          </w:tcPr>
          <w:p w:rsidR="00F73D6C" w:rsidRDefault="00F73D6C" w:rsidP="00B67473">
            <w:pPr>
              <w:jc w:val="center"/>
              <w:rPr>
                <w:rFonts w:eastAsia="Arial Unicode MS"/>
                <w:b/>
                <w:bCs/>
                <w:sz w:val="20"/>
                <w:szCs w:val="20"/>
              </w:rPr>
            </w:pPr>
          </w:p>
        </w:tc>
        <w:tc>
          <w:tcPr>
            <w:tcW w:w="708" w:type="dxa"/>
            <w:tcBorders>
              <w:top w:val="nil"/>
              <w:left w:val="nil"/>
              <w:bottom w:val="nil"/>
              <w:right w:val="nil"/>
            </w:tcBorders>
            <w:noWrap/>
            <w:vAlign w:val="bottom"/>
          </w:tcPr>
          <w:p w:rsidR="00F73D6C" w:rsidRPr="00B359FD" w:rsidRDefault="00F73D6C" w:rsidP="00B67473">
            <w:pPr>
              <w:jc w:val="center"/>
              <w:rPr>
                <w:rFonts w:eastAsia="Arial Unicode MS"/>
                <w:b/>
                <w:bCs/>
                <w:i/>
                <w:sz w:val="20"/>
                <w:szCs w:val="20"/>
              </w:rPr>
            </w:pPr>
          </w:p>
        </w:tc>
      </w:tr>
      <w:tr w:rsidR="00FC274B" w:rsidRPr="00387909" w:rsidTr="00C44A2C">
        <w:trPr>
          <w:trHeight w:val="285"/>
          <w:jc w:val="center"/>
        </w:trPr>
        <w:tc>
          <w:tcPr>
            <w:tcW w:w="2694" w:type="dxa"/>
            <w:tcBorders>
              <w:top w:val="nil"/>
              <w:left w:val="nil"/>
              <w:bottom w:val="single" w:sz="4" w:space="0" w:color="auto"/>
              <w:right w:val="nil"/>
            </w:tcBorders>
            <w:noWrap/>
            <w:vAlign w:val="bottom"/>
          </w:tcPr>
          <w:p w:rsidR="00FC274B" w:rsidRPr="00387909" w:rsidRDefault="00FC274B" w:rsidP="00FC274B">
            <w:pPr>
              <w:rPr>
                <w:rFonts w:eastAsia="Arial Unicode MS"/>
                <w:b/>
                <w:bCs/>
                <w:sz w:val="20"/>
              </w:rPr>
            </w:pPr>
            <w:r>
              <w:rPr>
                <w:b/>
                <w:sz w:val="20"/>
              </w:rPr>
              <w:t>Revenues from sales</w:t>
            </w:r>
          </w:p>
        </w:tc>
        <w:tc>
          <w:tcPr>
            <w:tcW w:w="737" w:type="dxa"/>
            <w:tcBorders>
              <w:top w:val="nil"/>
              <w:left w:val="nil"/>
              <w:bottom w:val="single" w:sz="4" w:space="0" w:color="auto"/>
              <w:right w:val="nil"/>
            </w:tcBorders>
            <w:shd w:val="clear" w:color="auto" w:fill="auto"/>
            <w:noWrap/>
            <w:vAlign w:val="bottom"/>
          </w:tcPr>
          <w:p w:rsidR="00FC274B" w:rsidRPr="00FC274B" w:rsidRDefault="00FC274B" w:rsidP="00FC274B">
            <w:pPr>
              <w:jc w:val="center"/>
              <w:rPr>
                <w:sz w:val="20"/>
                <w:szCs w:val="20"/>
              </w:rPr>
            </w:pPr>
            <w:r>
              <w:rPr>
                <w:sz w:val="20"/>
              </w:rPr>
              <w:t>169,048</w:t>
            </w:r>
          </w:p>
        </w:tc>
        <w:tc>
          <w:tcPr>
            <w:tcW w:w="691" w:type="dxa"/>
            <w:tcBorders>
              <w:top w:val="nil"/>
              <w:left w:val="nil"/>
              <w:bottom w:val="single" w:sz="4" w:space="0" w:color="auto"/>
              <w:right w:val="nil"/>
            </w:tcBorders>
            <w:shd w:val="clear" w:color="auto" w:fill="auto"/>
            <w:noWrap/>
            <w:vAlign w:val="bottom"/>
          </w:tcPr>
          <w:p w:rsidR="00FC274B" w:rsidRPr="00FC274B" w:rsidRDefault="00FC274B" w:rsidP="00FC274B">
            <w:pPr>
              <w:jc w:val="center"/>
              <w:rPr>
                <w:i/>
                <w:iCs/>
                <w:sz w:val="20"/>
                <w:szCs w:val="20"/>
              </w:rPr>
            </w:pPr>
            <w:r>
              <w:rPr>
                <w:i/>
                <w:sz w:val="20"/>
              </w:rPr>
              <w:t>100</w:t>
            </w:r>
          </w:p>
        </w:tc>
        <w:tc>
          <w:tcPr>
            <w:tcW w:w="851" w:type="dxa"/>
            <w:tcBorders>
              <w:top w:val="nil"/>
              <w:left w:val="nil"/>
              <w:bottom w:val="single" w:sz="4" w:space="0" w:color="auto"/>
              <w:right w:val="nil"/>
            </w:tcBorders>
            <w:shd w:val="clear" w:color="auto" w:fill="auto"/>
            <w:vAlign w:val="bottom"/>
          </w:tcPr>
          <w:p w:rsidR="00FC274B" w:rsidRPr="00FC274B" w:rsidRDefault="00FC274B" w:rsidP="00FC274B">
            <w:pPr>
              <w:jc w:val="center"/>
              <w:rPr>
                <w:sz w:val="20"/>
                <w:szCs w:val="20"/>
              </w:rPr>
            </w:pPr>
            <w:r>
              <w:rPr>
                <w:sz w:val="20"/>
              </w:rPr>
              <w:t>148,978</w:t>
            </w:r>
          </w:p>
        </w:tc>
        <w:tc>
          <w:tcPr>
            <w:tcW w:w="708" w:type="dxa"/>
            <w:tcBorders>
              <w:top w:val="nil"/>
              <w:left w:val="nil"/>
              <w:bottom w:val="single" w:sz="4" w:space="0" w:color="auto"/>
              <w:right w:val="nil"/>
            </w:tcBorders>
            <w:shd w:val="clear" w:color="auto" w:fill="auto"/>
            <w:vAlign w:val="bottom"/>
          </w:tcPr>
          <w:p w:rsidR="00FC274B" w:rsidRPr="00FC274B" w:rsidRDefault="00FC274B" w:rsidP="00FC274B">
            <w:pPr>
              <w:jc w:val="center"/>
              <w:rPr>
                <w:i/>
                <w:iCs/>
                <w:sz w:val="20"/>
                <w:szCs w:val="20"/>
              </w:rPr>
            </w:pPr>
            <w:r>
              <w:rPr>
                <w:i/>
                <w:sz w:val="20"/>
              </w:rPr>
              <w:t>100</w:t>
            </w:r>
          </w:p>
        </w:tc>
        <w:tc>
          <w:tcPr>
            <w:tcW w:w="726" w:type="dxa"/>
            <w:tcBorders>
              <w:top w:val="nil"/>
              <w:left w:val="nil"/>
              <w:bottom w:val="single" w:sz="4" w:space="0" w:color="auto"/>
              <w:right w:val="nil"/>
            </w:tcBorders>
            <w:shd w:val="clear" w:color="auto" w:fill="auto"/>
            <w:noWrap/>
            <w:vAlign w:val="bottom"/>
          </w:tcPr>
          <w:p w:rsidR="00FC274B" w:rsidRPr="00FC274B" w:rsidRDefault="00FC274B" w:rsidP="00FC274B">
            <w:pPr>
              <w:jc w:val="center"/>
              <w:rPr>
                <w:i/>
                <w:iCs/>
                <w:sz w:val="20"/>
                <w:szCs w:val="20"/>
              </w:rPr>
            </w:pPr>
            <w:r>
              <w:rPr>
                <w:i/>
                <w:sz w:val="20"/>
              </w:rPr>
              <w:t>13.5%</w:t>
            </w:r>
          </w:p>
        </w:tc>
        <w:tc>
          <w:tcPr>
            <w:tcW w:w="812" w:type="dxa"/>
            <w:tcBorders>
              <w:top w:val="nil"/>
              <w:left w:val="nil"/>
              <w:bottom w:val="single" w:sz="4" w:space="0" w:color="auto"/>
              <w:right w:val="nil"/>
            </w:tcBorders>
            <w:shd w:val="clear" w:color="auto" w:fill="auto"/>
            <w:noWrap/>
            <w:vAlign w:val="bottom"/>
          </w:tcPr>
          <w:p w:rsidR="00FC274B" w:rsidRPr="00FC274B" w:rsidRDefault="00FC274B" w:rsidP="00FC274B">
            <w:pPr>
              <w:jc w:val="center"/>
              <w:rPr>
                <w:sz w:val="20"/>
                <w:szCs w:val="20"/>
              </w:rPr>
            </w:pPr>
            <w:r>
              <w:rPr>
                <w:sz w:val="20"/>
              </w:rPr>
              <w:t>51,406</w:t>
            </w:r>
          </w:p>
        </w:tc>
        <w:tc>
          <w:tcPr>
            <w:tcW w:w="628" w:type="dxa"/>
            <w:tcBorders>
              <w:top w:val="nil"/>
              <w:left w:val="nil"/>
              <w:bottom w:val="single" w:sz="4" w:space="0" w:color="auto"/>
              <w:right w:val="nil"/>
            </w:tcBorders>
            <w:shd w:val="clear" w:color="auto" w:fill="auto"/>
            <w:vAlign w:val="bottom"/>
          </w:tcPr>
          <w:p w:rsidR="00FC274B" w:rsidRPr="00FC274B" w:rsidRDefault="00FC274B" w:rsidP="00FC274B">
            <w:pPr>
              <w:jc w:val="center"/>
              <w:rPr>
                <w:i/>
                <w:iCs/>
                <w:sz w:val="20"/>
                <w:szCs w:val="20"/>
              </w:rPr>
            </w:pPr>
            <w:r>
              <w:rPr>
                <w:i/>
                <w:sz w:val="20"/>
              </w:rPr>
              <w:t>100</w:t>
            </w:r>
          </w:p>
        </w:tc>
        <w:tc>
          <w:tcPr>
            <w:tcW w:w="828" w:type="dxa"/>
            <w:tcBorders>
              <w:top w:val="nil"/>
              <w:left w:val="nil"/>
              <w:bottom w:val="single" w:sz="4" w:space="0" w:color="auto"/>
              <w:right w:val="nil"/>
            </w:tcBorders>
            <w:shd w:val="clear" w:color="auto" w:fill="auto"/>
            <w:vAlign w:val="bottom"/>
          </w:tcPr>
          <w:p w:rsidR="00FC274B" w:rsidRPr="00FC274B" w:rsidRDefault="00FC274B" w:rsidP="00FC274B">
            <w:pPr>
              <w:jc w:val="center"/>
              <w:rPr>
                <w:sz w:val="20"/>
                <w:szCs w:val="20"/>
              </w:rPr>
            </w:pPr>
            <w:r>
              <w:rPr>
                <w:sz w:val="20"/>
              </w:rPr>
              <w:t>44,619</w:t>
            </w:r>
          </w:p>
        </w:tc>
        <w:tc>
          <w:tcPr>
            <w:tcW w:w="540" w:type="dxa"/>
            <w:tcBorders>
              <w:top w:val="nil"/>
              <w:left w:val="nil"/>
              <w:bottom w:val="single" w:sz="4" w:space="0" w:color="auto"/>
              <w:right w:val="nil"/>
            </w:tcBorders>
            <w:shd w:val="clear" w:color="auto" w:fill="auto"/>
            <w:vAlign w:val="bottom"/>
          </w:tcPr>
          <w:p w:rsidR="00FC274B" w:rsidRPr="00FC274B" w:rsidRDefault="00FC274B" w:rsidP="00FC274B">
            <w:pPr>
              <w:jc w:val="center"/>
              <w:rPr>
                <w:i/>
                <w:iCs/>
                <w:sz w:val="20"/>
                <w:szCs w:val="20"/>
              </w:rPr>
            </w:pPr>
            <w:r>
              <w:rPr>
                <w:i/>
                <w:sz w:val="20"/>
              </w:rPr>
              <w:t>100</w:t>
            </w:r>
          </w:p>
        </w:tc>
        <w:tc>
          <w:tcPr>
            <w:tcW w:w="708" w:type="dxa"/>
            <w:tcBorders>
              <w:top w:val="nil"/>
              <w:left w:val="nil"/>
              <w:bottom w:val="single" w:sz="4" w:space="0" w:color="auto"/>
              <w:right w:val="nil"/>
            </w:tcBorders>
            <w:shd w:val="clear" w:color="auto" w:fill="auto"/>
            <w:noWrap/>
            <w:vAlign w:val="bottom"/>
          </w:tcPr>
          <w:p w:rsidR="00FC274B" w:rsidRPr="00FC274B" w:rsidRDefault="00FC274B" w:rsidP="00FC274B">
            <w:pPr>
              <w:jc w:val="center"/>
              <w:rPr>
                <w:i/>
                <w:iCs/>
                <w:sz w:val="20"/>
                <w:szCs w:val="20"/>
              </w:rPr>
            </w:pPr>
            <w:r>
              <w:rPr>
                <w:i/>
                <w:sz w:val="20"/>
              </w:rPr>
              <w:t>15.2%</w:t>
            </w:r>
          </w:p>
        </w:tc>
      </w:tr>
      <w:tr w:rsidR="00FC274B" w:rsidRPr="00387909" w:rsidTr="00C44A2C">
        <w:trPr>
          <w:trHeight w:hRule="exact" w:val="227"/>
          <w:jc w:val="center"/>
        </w:trPr>
        <w:tc>
          <w:tcPr>
            <w:tcW w:w="2694" w:type="dxa"/>
            <w:tcBorders>
              <w:top w:val="nil"/>
              <w:left w:val="nil"/>
              <w:bottom w:val="nil"/>
              <w:right w:val="nil"/>
            </w:tcBorders>
            <w:noWrap/>
            <w:vAlign w:val="bottom"/>
          </w:tcPr>
          <w:p w:rsidR="00FC274B" w:rsidRPr="00387909" w:rsidRDefault="00FC274B" w:rsidP="00FC274B">
            <w:pPr>
              <w:rPr>
                <w:rFonts w:eastAsia="Arial Unicode MS"/>
                <w:sz w:val="20"/>
              </w:rPr>
            </w:pPr>
          </w:p>
        </w:tc>
        <w:tc>
          <w:tcPr>
            <w:tcW w:w="737" w:type="dxa"/>
            <w:tcBorders>
              <w:top w:val="nil"/>
              <w:left w:val="nil"/>
              <w:bottom w:val="nil"/>
              <w:right w:val="nil"/>
            </w:tcBorders>
            <w:shd w:val="clear" w:color="auto" w:fill="auto"/>
            <w:noWrap/>
            <w:vAlign w:val="bottom"/>
          </w:tcPr>
          <w:p w:rsidR="00FC274B" w:rsidRPr="00FC274B" w:rsidRDefault="00FC274B" w:rsidP="00FC274B">
            <w:pPr>
              <w:jc w:val="center"/>
              <w:rPr>
                <w:i/>
                <w:iCs/>
                <w:sz w:val="20"/>
                <w:szCs w:val="20"/>
              </w:rPr>
            </w:pPr>
          </w:p>
        </w:tc>
        <w:tc>
          <w:tcPr>
            <w:tcW w:w="691" w:type="dxa"/>
            <w:tcBorders>
              <w:top w:val="nil"/>
              <w:left w:val="nil"/>
              <w:bottom w:val="nil"/>
              <w:right w:val="nil"/>
            </w:tcBorders>
            <w:shd w:val="clear" w:color="auto" w:fill="auto"/>
            <w:noWrap/>
            <w:vAlign w:val="bottom"/>
          </w:tcPr>
          <w:p w:rsidR="00FC274B" w:rsidRPr="00FC274B" w:rsidRDefault="00FC274B" w:rsidP="00FC274B">
            <w:pPr>
              <w:jc w:val="center"/>
              <w:rPr>
                <w:sz w:val="20"/>
                <w:szCs w:val="20"/>
              </w:rPr>
            </w:pPr>
          </w:p>
        </w:tc>
        <w:tc>
          <w:tcPr>
            <w:tcW w:w="851" w:type="dxa"/>
            <w:tcBorders>
              <w:top w:val="nil"/>
              <w:left w:val="nil"/>
              <w:bottom w:val="nil"/>
              <w:right w:val="nil"/>
            </w:tcBorders>
            <w:shd w:val="clear" w:color="auto" w:fill="auto"/>
            <w:vAlign w:val="bottom"/>
          </w:tcPr>
          <w:p w:rsidR="00FC274B" w:rsidRPr="00FC274B" w:rsidRDefault="00FC274B" w:rsidP="00FC274B">
            <w:pPr>
              <w:jc w:val="center"/>
              <w:rPr>
                <w:sz w:val="20"/>
                <w:szCs w:val="20"/>
              </w:rPr>
            </w:pPr>
          </w:p>
        </w:tc>
        <w:tc>
          <w:tcPr>
            <w:tcW w:w="708" w:type="dxa"/>
            <w:tcBorders>
              <w:top w:val="nil"/>
              <w:left w:val="nil"/>
              <w:bottom w:val="nil"/>
              <w:right w:val="nil"/>
            </w:tcBorders>
            <w:shd w:val="clear" w:color="auto" w:fill="auto"/>
            <w:vAlign w:val="bottom"/>
          </w:tcPr>
          <w:p w:rsidR="00FC274B" w:rsidRPr="00FC274B" w:rsidRDefault="00FC274B" w:rsidP="00FC274B">
            <w:pPr>
              <w:jc w:val="center"/>
              <w:rPr>
                <w:sz w:val="20"/>
                <w:szCs w:val="20"/>
              </w:rPr>
            </w:pPr>
          </w:p>
        </w:tc>
        <w:tc>
          <w:tcPr>
            <w:tcW w:w="726" w:type="dxa"/>
            <w:tcBorders>
              <w:top w:val="nil"/>
              <w:left w:val="nil"/>
              <w:bottom w:val="nil"/>
              <w:right w:val="nil"/>
            </w:tcBorders>
            <w:shd w:val="clear" w:color="auto" w:fill="auto"/>
            <w:noWrap/>
            <w:vAlign w:val="bottom"/>
          </w:tcPr>
          <w:p w:rsidR="00FC274B" w:rsidRPr="00FC274B" w:rsidRDefault="00FC274B" w:rsidP="00FC274B">
            <w:pPr>
              <w:jc w:val="center"/>
              <w:rPr>
                <w:sz w:val="20"/>
                <w:szCs w:val="20"/>
              </w:rPr>
            </w:pPr>
          </w:p>
        </w:tc>
        <w:tc>
          <w:tcPr>
            <w:tcW w:w="812" w:type="dxa"/>
            <w:tcBorders>
              <w:top w:val="nil"/>
              <w:left w:val="nil"/>
              <w:bottom w:val="nil"/>
              <w:right w:val="nil"/>
            </w:tcBorders>
            <w:shd w:val="clear" w:color="auto" w:fill="auto"/>
            <w:noWrap/>
            <w:vAlign w:val="bottom"/>
          </w:tcPr>
          <w:p w:rsidR="00FC274B" w:rsidRPr="00FC274B" w:rsidRDefault="00FC274B" w:rsidP="00FC274B">
            <w:pPr>
              <w:jc w:val="center"/>
              <w:rPr>
                <w:i/>
                <w:iCs/>
                <w:sz w:val="20"/>
                <w:szCs w:val="20"/>
              </w:rPr>
            </w:pPr>
          </w:p>
        </w:tc>
        <w:tc>
          <w:tcPr>
            <w:tcW w:w="628" w:type="dxa"/>
            <w:tcBorders>
              <w:top w:val="nil"/>
              <w:left w:val="nil"/>
              <w:bottom w:val="nil"/>
              <w:right w:val="nil"/>
            </w:tcBorders>
            <w:shd w:val="clear" w:color="auto" w:fill="auto"/>
            <w:vAlign w:val="bottom"/>
          </w:tcPr>
          <w:p w:rsidR="00FC274B" w:rsidRPr="00FC274B" w:rsidRDefault="00FC274B" w:rsidP="00FC274B">
            <w:pPr>
              <w:jc w:val="center"/>
              <w:rPr>
                <w:sz w:val="20"/>
                <w:szCs w:val="20"/>
              </w:rPr>
            </w:pPr>
          </w:p>
        </w:tc>
        <w:tc>
          <w:tcPr>
            <w:tcW w:w="828" w:type="dxa"/>
            <w:tcBorders>
              <w:top w:val="nil"/>
              <w:left w:val="nil"/>
              <w:bottom w:val="nil"/>
              <w:right w:val="nil"/>
            </w:tcBorders>
            <w:shd w:val="clear" w:color="auto" w:fill="auto"/>
            <w:vAlign w:val="bottom"/>
          </w:tcPr>
          <w:p w:rsidR="00FC274B" w:rsidRPr="00FC274B" w:rsidRDefault="00FC274B" w:rsidP="00FC274B">
            <w:pPr>
              <w:jc w:val="center"/>
              <w:rPr>
                <w:sz w:val="20"/>
                <w:szCs w:val="20"/>
              </w:rPr>
            </w:pPr>
          </w:p>
        </w:tc>
        <w:tc>
          <w:tcPr>
            <w:tcW w:w="540" w:type="dxa"/>
            <w:tcBorders>
              <w:top w:val="nil"/>
              <w:left w:val="nil"/>
              <w:bottom w:val="nil"/>
              <w:right w:val="nil"/>
            </w:tcBorders>
            <w:shd w:val="clear" w:color="auto" w:fill="auto"/>
            <w:vAlign w:val="bottom"/>
          </w:tcPr>
          <w:p w:rsidR="00FC274B" w:rsidRPr="00FC274B" w:rsidRDefault="00FC274B" w:rsidP="00FC274B">
            <w:pPr>
              <w:jc w:val="center"/>
              <w:rPr>
                <w:sz w:val="20"/>
                <w:szCs w:val="20"/>
              </w:rPr>
            </w:pPr>
          </w:p>
        </w:tc>
        <w:tc>
          <w:tcPr>
            <w:tcW w:w="708" w:type="dxa"/>
            <w:tcBorders>
              <w:top w:val="nil"/>
              <w:left w:val="nil"/>
              <w:bottom w:val="nil"/>
              <w:right w:val="nil"/>
            </w:tcBorders>
            <w:shd w:val="clear" w:color="auto" w:fill="auto"/>
            <w:noWrap/>
            <w:vAlign w:val="bottom"/>
          </w:tcPr>
          <w:p w:rsidR="00FC274B" w:rsidRPr="00FC274B" w:rsidRDefault="00FC274B" w:rsidP="00FC274B">
            <w:pPr>
              <w:jc w:val="center"/>
              <w:rPr>
                <w:sz w:val="20"/>
                <w:szCs w:val="20"/>
              </w:rPr>
            </w:pPr>
          </w:p>
        </w:tc>
      </w:tr>
      <w:tr w:rsidR="00FC274B" w:rsidRPr="00387909" w:rsidTr="00C44A2C">
        <w:trPr>
          <w:trHeight w:val="255"/>
          <w:jc w:val="center"/>
        </w:trPr>
        <w:tc>
          <w:tcPr>
            <w:tcW w:w="2694" w:type="dxa"/>
            <w:tcBorders>
              <w:top w:val="nil"/>
              <w:left w:val="nil"/>
              <w:bottom w:val="single" w:sz="4" w:space="0" w:color="auto"/>
              <w:right w:val="nil"/>
            </w:tcBorders>
            <w:noWrap/>
            <w:vAlign w:val="bottom"/>
          </w:tcPr>
          <w:p w:rsidR="00FC274B" w:rsidRPr="00387909" w:rsidRDefault="00FC274B" w:rsidP="00FC274B">
            <w:pPr>
              <w:rPr>
                <w:rFonts w:eastAsia="Arial Unicode MS"/>
                <w:b/>
                <w:bCs/>
                <w:sz w:val="20"/>
                <w:szCs w:val="20"/>
              </w:rPr>
            </w:pPr>
            <w:r>
              <w:rPr>
                <w:b/>
                <w:sz w:val="20"/>
              </w:rPr>
              <w:t>Gross operating profit (Ebitda)</w:t>
            </w:r>
          </w:p>
        </w:tc>
        <w:tc>
          <w:tcPr>
            <w:tcW w:w="737" w:type="dxa"/>
            <w:tcBorders>
              <w:top w:val="nil"/>
              <w:left w:val="nil"/>
              <w:bottom w:val="single" w:sz="4" w:space="0" w:color="auto"/>
              <w:right w:val="nil"/>
            </w:tcBorders>
            <w:shd w:val="clear" w:color="auto" w:fill="auto"/>
            <w:noWrap/>
            <w:vAlign w:val="bottom"/>
          </w:tcPr>
          <w:p w:rsidR="00FC274B" w:rsidRPr="00FC274B" w:rsidRDefault="00FC274B" w:rsidP="00FC274B">
            <w:pPr>
              <w:jc w:val="center"/>
              <w:rPr>
                <w:sz w:val="20"/>
                <w:szCs w:val="20"/>
              </w:rPr>
            </w:pPr>
            <w:r>
              <w:rPr>
                <w:sz w:val="20"/>
              </w:rPr>
              <w:t>52,691</w:t>
            </w:r>
          </w:p>
        </w:tc>
        <w:tc>
          <w:tcPr>
            <w:tcW w:w="691" w:type="dxa"/>
            <w:tcBorders>
              <w:top w:val="nil"/>
              <w:left w:val="nil"/>
              <w:bottom w:val="single" w:sz="4" w:space="0" w:color="auto"/>
              <w:right w:val="nil"/>
            </w:tcBorders>
            <w:shd w:val="clear" w:color="auto" w:fill="auto"/>
            <w:noWrap/>
            <w:vAlign w:val="bottom"/>
          </w:tcPr>
          <w:p w:rsidR="00FC274B" w:rsidRPr="00FC274B" w:rsidRDefault="00FC274B" w:rsidP="00FC274B">
            <w:pPr>
              <w:jc w:val="center"/>
              <w:rPr>
                <w:i/>
                <w:iCs/>
                <w:sz w:val="20"/>
                <w:szCs w:val="20"/>
              </w:rPr>
            </w:pPr>
            <w:r>
              <w:rPr>
                <w:i/>
                <w:sz w:val="20"/>
              </w:rPr>
              <w:t>31.2</w:t>
            </w:r>
          </w:p>
        </w:tc>
        <w:tc>
          <w:tcPr>
            <w:tcW w:w="851" w:type="dxa"/>
            <w:tcBorders>
              <w:top w:val="nil"/>
              <w:left w:val="nil"/>
              <w:bottom w:val="single" w:sz="4" w:space="0" w:color="auto"/>
              <w:right w:val="nil"/>
            </w:tcBorders>
            <w:shd w:val="clear" w:color="auto" w:fill="auto"/>
            <w:vAlign w:val="bottom"/>
          </w:tcPr>
          <w:p w:rsidR="00FC274B" w:rsidRPr="00FC274B" w:rsidRDefault="00FC274B" w:rsidP="00FC274B">
            <w:pPr>
              <w:jc w:val="center"/>
              <w:rPr>
                <w:sz w:val="20"/>
                <w:szCs w:val="20"/>
              </w:rPr>
            </w:pPr>
            <w:r>
              <w:rPr>
                <w:sz w:val="20"/>
              </w:rPr>
              <w:t>41,723</w:t>
            </w:r>
          </w:p>
        </w:tc>
        <w:tc>
          <w:tcPr>
            <w:tcW w:w="708" w:type="dxa"/>
            <w:tcBorders>
              <w:top w:val="nil"/>
              <w:left w:val="nil"/>
              <w:bottom w:val="single" w:sz="4" w:space="0" w:color="auto"/>
              <w:right w:val="nil"/>
            </w:tcBorders>
            <w:shd w:val="clear" w:color="auto" w:fill="auto"/>
            <w:vAlign w:val="bottom"/>
          </w:tcPr>
          <w:p w:rsidR="00FC274B" w:rsidRPr="00FC274B" w:rsidRDefault="00FC274B" w:rsidP="00FC274B">
            <w:pPr>
              <w:jc w:val="center"/>
              <w:rPr>
                <w:i/>
                <w:iCs/>
                <w:sz w:val="20"/>
                <w:szCs w:val="20"/>
              </w:rPr>
            </w:pPr>
            <w:r>
              <w:rPr>
                <w:i/>
                <w:sz w:val="20"/>
              </w:rPr>
              <w:t>28.0</w:t>
            </w:r>
          </w:p>
        </w:tc>
        <w:tc>
          <w:tcPr>
            <w:tcW w:w="726" w:type="dxa"/>
            <w:tcBorders>
              <w:top w:val="nil"/>
              <w:left w:val="nil"/>
              <w:bottom w:val="single" w:sz="4" w:space="0" w:color="auto"/>
              <w:right w:val="nil"/>
            </w:tcBorders>
            <w:shd w:val="clear" w:color="auto" w:fill="auto"/>
            <w:noWrap/>
            <w:vAlign w:val="bottom"/>
          </w:tcPr>
          <w:p w:rsidR="00FC274B" w:rsidRPr="00FC274B" w:rsidRDefault="00FC274B" w:rsidP="00FC274B">
            <w:pPr>
              <w:jc w:val="center"/>
              <w:rPr>
                <w:i/>
                <w:iCs/>
                <w:sz w:val="20"/>
                <w:szCs w:val="20"/>
              </w:rPr>
            </w:pPr>
            <w:r>
              <w:rPr>
                <w:i/>
                <w:sz w:val="20"/>
              </w:rPr>
              <w:t>26.3%</w:t>
            </w:r>
          </w:p>
        </w:tc>
        <w:tc>
          <w:tcPr>
            <w:tcW w:w="812" w:type="dxa"/>
            <w:tcBorders>
              <w:top w:val="nil"/>
              <w:left w:val="nil"/>
              <w:bottom w:val="single" w:sz="4" w:space="0" w:color="auto"/>
              <w:right w:val="nil"/>
            </w:tcBorders>
            <w:shd w:val="clear" w:color="auto" w:fill="auto"/>
            <w:noWrap/>
            <w:vAlign w:val="bottom"/>
          </w:tcPr>
          <w:p w:rsidR="00FC274B" w:rsidRPr="00FC274B" w:rsidRDefault="00FC274B" w:rsidP="00FC274B">
            <w:pPr>
              <w:jc w:val="center"/>
              <w:rPr>
                <w:sz w:val="20"/>
                <w:szCs w:val="20"/>
              </w:rPr>
            </w:pPr>
            <w:r>
              <w:rPr>
                <w:sz w:val="20"/>
              </w:rPr>
              <w:t>14,042</w:t>
            </w:r>
          </w:p>
        </w:tc>
        <w:tc>
          <w:tcPr>
            <w:tcW w:w="628" w:type="dxa"/>
            <w:tcBorders>
              <w:top w:val="nil"/>
              <w:left w:val="nil"/>
              <w:bottom w:val="single" w:sz="4" w:space="0" w:color="auto"/>
              <w:right w:val="nil"/>
            </w:tcBorders>
            <w:shd w:val="clear" w:color="auto" w:fill="auto"/>
            <w:vAlign w:val="bottom"/>
          </w:tcPr>
          <w:p w:rsidR="00FC274B" w:rsidRPr="00FC274B" w:rsidRDefault="00FC274B" w:rsidP="00FC274B">
            <w:pPr>
              <w:jc w:val="center"/>
              <w:rPr>
                <w:i/>
                <w:iCs/>
                <w:sz w:val="20"/>
                <w:szCs w:val="20"/>
              </w:rPr>
            </w:pPr>
            <w:r>
              <w:rPr>
                <w:i/>
                <w:sz w:val="20"/>
              </w:rPr>
              <w:t>27.3</w:t>
            </w:r>
          </w:p>
        </w:tc>
        <w:tc>
          <w:tcPr>
            <w:tcW w:w="828" w:type="dxa"/>
            <w:tcBorders>
              <w:top w:val="nil"/>
              <w:left w:val="nil"/>
              <w:bottom w:val="single" w:sz="4" w:space="0" w:color="auto"/>
              <w:right w:val="nil"/>
            </w:tcBorders>
            <w:shd w:val="clear" w:color="auto" w:fill="auto"/>
            <w:vAlign w:val="bottom"/>
          </w:tcPr>
          <w:p w:rsidR="00FC274B" w:rsidRPr="00FC274B" w:rsidRDefault="00FC274B" w:rsidP="00FC274B">
            <w:pPr>
              <w:jc w:val="center"/>
              <w:rPr>
                <w:sz w:val="20"/>
                <w:szCs w:val="20"/>
              </w:rPr>
            </w:pPr>
            <w:r>
              <w:rPr>
                <w:sz w:val="20"/>
              </w:rPr>
              <w:t>11,218</w:t>
            </w:r>
          </w:p>
        </w:tc>
        <w:tc>
          <w:tcPr>
            <w:tcW w:w="540" w:type="dxa"/>
            <w:tcBorders>
              <w:top w:val="nil"/>
              <w:left w:val="nil"/>
              <w:bottom w:val="single" w:sz="4" w:space="0" w:color="auto"/>
              <w:right w:val="nil"/>
            </w:tcBorders>
            <w:shd w:val="clear" w:color="auto" w:fill="auto"/>
            <w:vAlign w:val="bottom"/>
          </w:tcPr>
          <w:p w:rsidR="00FC274B" w:rsidRPr="00FC274B" w:rsidRDefault="00FC274B" w:rsidP="00FC274B">
            <w:pPr>
              <w:jc w:val="center"/>
              <w:rPr>
                <w:i/>
                <w:iCs/>
                <w:sz w:val="20"/>
                <w:szCs w:val="20"/>
              </w:rPr>
            </w:pPr>
            <w:r>
              <w:rPr>
                <w:i/>
                <w:sz w:val="20"/>
              </w:rPr>
              <w:t>25.1</w:t>
            </w:r>
          </w:p>
        </w:tc>
        <w:tc>
          <w:tcPr>
            <w:tcW w:w="708" w:type="dxa"/>
            <w:tcBorders>
              <w:top w:val="nil"/>
              <w:left w:val="nil"/>
              <w:bottom w:val="single" w:sz="4" w:space="0" w:color="auto"/>
              <w:right w:val="nil"/>
            </w:tcBorders>
            <w:shd w:val="clear" w:color="auto" w:fill="auto"/>
            <w:noWrap/>
            <w:vAlign w:val="bottom"/>
          </w:tcPr>
          <w:p w:rsidR="00FC274B" w:rsidRPr="00FC274B" w:rsidRDefault="00FC274B" w:rsidP="00FC274B">
            <w:pPr>
              <w:jc w:val="center"/>
              <w:rPr>
                <w:i/>
                <w:iCs/>
                <w:sz w:val="20"/>
                <w:szCs w:val="20"/>
              </w:rPr>
            </w:pPr>
            <w:r>
              <w:rPr>
                <w:i/>
                <w:sz w:val="20"/>
              </w:rPr>
              <w:t>25.2%</w:t>
            </w:r>
          </w:p>
        </w:tc>
      </w:tr>
      <w:tr w:rsidR="00FC274B" w:rsidRPr="00387909" w:rsidTr="00C44A2C">
        <w:trPr>
          <w:trHeight w:hRule="exact" w:val="227"/>
          <w:jc w:val="center"/>
        </w:trPr>
        <w:tc>
          <w:tcPr>
            <w:tcW w:w="2694" w:type="dxa"/>
            <w:tcBorders>
              <w:top w:val="nil"/>
              <w:left w:val="nil"/>
              <w:bottom w:val="nil"/>
              <w:right w:val="nil"/>
            </w:tcBorders>
            <w:noWrap/>
            <w:vAlign w:val="bottom"/>
          </w:tcPr>
          <w:p w:rsidR="00FC274B" w:rsidRPr="00387909" w:rsidRDefault="00FC274B" w:rsidP="00FC274B">
            <w:pPr>
              <w:rPr>
                <w:rFonts w:eastAsia="Arial Unicode MS"/>
                <w:sz w:val="20"/>
                <w:szCs w:val="20"/>
              </w:rPr>
            </w:pPr>
          </w:p>
        </w:tc>
        <w:tc>
          <w:tcPr>
            <w:tcW w:w="737" w:type="dxa"/>
            <w:tcBorders>
              <w:top w:val="nil"/>
              <w:left w:val="nil"/>
              <w:bottom w:val="nil"/>
              <w:right w:val="nil"/>
            </w:tcBorders>
            <w:shd w:val="clear" w:color="auto" w:fill="auto"/>
            <w:noWrap/>
            <w:vAlign w:val="bottom"/>
          </w:tcPr>
          <w:p w:rsidR="00FC274B" w:rsidRPr="00FC274B" w:rsidRDefault="00FC274B" w:rsidP="00FC274B">
            <w:pPr>
              <w:jc w:val="center"/>
              <w:rPr>
                <w:i/>
                <w:iCs/>
                <w:sz w:val="20"/>
                <w:szCs w:val="20"/>
              </w:rPr>
            </w:pPr>
          </w:p>
        </w:tc>
        <w:tc>
          <w:tcPr>
            <w:tcW w:w="691" w:type="dxa"/>
            <w:tcBorders>
              <w:top w:val="nil"/>
              <w:left w:val="nil"/>
              <w:bottom w:val="nil"/>
              <w:right w:val="nil"/>
            </w:tcBorders>
            <w:shd w:val="clear" w:color="auto" w:fill="auto"/>
            <w:noWrap/>
            <w:vAlign w:val="bottom"/>
          </w:tcPr>
          <w:p w:rsidR="00FC274B" w:rsidRPr="00FC274B" w:rsidRDefault="00FC274B" w:rsidP="00FC274B">
            <w:pPr>
              <w:jc w:val="center"/>
              <w:rPr>
                <w:sz w:val="20"/>
                <w:szCs w:val="20"/>
              </w:rPr>
            </w:pPr>
          </w:p>
        </w:tc>
        <w:tc>
          <w:tcPr>
            <w:tcW w:w="851" w:type="dxa"/>
            <w:tcBorders>
              <w:top w:val="nil"/>
              <w:left w:val="nil"/>
              <w:bottom w:val="nil"/>
              <w:right w:val="nil"/>
            </w:tcBorders>
            <w:shd w:val="clear" w:color="auto" w:fill="auto"/>
            <w:vAlign w:val="bottom"/>
          </w:tcPr>
          <w:p w:rsidR="00FC274B" w:rsidRPr="00FC274B" w:rsidRDefault="00FC274B" w:rsidP="00FC274B">
            <w:pPr>
              <w:jc w:val="center"/>
              <w:rPr>
                <w:sz w:val="20"/>
                <w:szCs w:val="20"/>
              </w:rPr>
            </w:pPr>
          </w:p>
        </w:tc>
        <w:tc>
          <w:tcPr>
            <w:tcW w:w="708" w:type="dxa"/>
            <w:tcBorders>
              <w:top w:val="nil"/>
              <w:left w:val="nil"/>
              <w:bottom w:val="nil"/>
              <w:right w:val="nil"/>
            </w:tcBorders>
            <w:shd w:val="clear" w:color="auto" w:fill="auto"/>
            <w:vAlign w:val="bottom"/>
          </w:tcPr>
          <w:p w:rsidR="00FC274B" w:rsidRPr="00FC274B" w:rsidRDefault="00FC274B" w:rsidP="00FC274B">
            <w:pPr>
              <w:jc w:val="center"/>
              <w:rPr>
                <w:sz w:val="20"/>
                <w:szCs w:val="20"/>
              </w:rPr>
            </w:pPr>
          </w:p>
        </w:tc>
        <w:tc>
          <w:tcPr>
            <w:tcW w:w="726" w:type="dxa"/>
            <w:tcBorders>
              <w:top w:val="nil"/>
              <w:left w:val="nil"/>
              <w:bottom w:val="nil"/>
              <w:right w:val="nil"/>
            </w:tcBorders>
            <w:shd w:val="clear" w:color="auto" w:fill="auto"/>
            <w:noWrap/>
            <w:vAlign w:val="bottom"/>
          </w:tcPr>
          <w:p w:rsidR="00FC274B" w:rsidRPr="00FC274B" w:rsidRDefault="00FC274B" w:rsidP="00FC274B">
            <w:pPr>
              <w:jc w:val="center"/>
              <w:rPr>
                <w:sz w:val="20"/>
                <w:szCs w:val="20"/>
              </w:rPr>
            </w:pPr>
          </w:p>
        </w:tc>
        <w:tc>
          <w:tcPr>
            <w:tcW w:w="812" w:type="dxa"/>
            <w:tcBorders>
              <w:top w:val="nil"/>
              <w:left w:val="nil"/>
              <w:bottom w:val="nil"/>
              <w:right w:val="nil"/>
            </w:tcBorders>
            <w:shd w:val="clear" w:color="auto" w:fill="auto"/>
            <w:noWrap/>
            <w:vAlign w:val="bottom"/>
          </w:tcPr>
          <w:p w:rsidR="00FC274B" w:rsidRPr="00FC274B" w:rsidRDefault="00FC274B" w:rsidP="00FC274B">
            <w:pPr>
              <w:jc w:val="center"/>
              <w:rPr>
                <w:i/>
                <w:iCs/>
                <w:sz w:val="20"/>
                <w:szCs w:val="20"/>
              </w:rPr>
            </w:pPr>
          </w:p>
        </w:tc>
        <w:tc>
          <w:tcPr>
            <w:tcW w:w="628" w:type="dxa"/>
            <w:tcBorders>
              <w:top w:val="nil"/>
              <w:left w:val="nil"/>
              <w:bottom w:val="nil"/>
              <w:right w:val="nil"/>
            </w:tcBorders>
            <w:shd w:val="clear" w:color="auto" w:fill="auto"/>
            <w:vAlign w:val="bottom"/>
          </w:tcPr>
          <w:p w:rsidR="00FC274B" w:rsidRPr="00FC274B" w:rsidRDefault="00FC274B" w:rsidP="00FC274B">
            <w:pPr>
              <w:jc w:val="center"/>
              <w:rPr>
                <w:sz w:val="20"/>
                <w:szCs w:val="20"/>
              </w:rPr>
            </w:pPr>
          </w:p>
        </w:tc>
        <w:tc>
          <w:tcPr>
            <w:tcW w:w="828" w:type="dxa"/>
            <w:tcBorders>
              <w:top w:val="nil"/>
              <w:left w:val="nil"/>
              <w:bottom w:val="nil"/>
              <w:right w:val="nil"/>
            </w:tcBorders>
            <w:shd w:val="clear" w:color="auto" w:fill="auto"/>
            <w:vAlign w:val="bottom"/>
          </w:tcPr>
          <w:p w:rsidR="00FC274B" w:rsidRPr="00FC274B" w:rsidRDefault="00FC274B" w:rsidP="00FC274B">
            <w:pPr>
              <w:jc w:val="center"/>
              <w:rPr>
                <w:sz w:val="20"/>
                <w:szCs w:val="20"/>
              </w:rPr>
            </w:pPr>
          </w:p>
        </w:tc>
        <w:tc>
          <w:tcPr>
            <w:tcW w:w="540" w:type="dxa"/>
            <w:tcBorders>
              <w:top w:val="nil"/>
              <w:left w:val="nil"/>
              <w:bottom w:val="nil"/>
              <w:right w:val="nil"/>
            </w:tcBorders>
            <w:shd w:val="clear" w:color="auto" w:fill="auto"/>
            <w:vAlign w:val="bottom"/>
          </w:tcPr>
          <w:p w:rsidR="00FC274B" w:rsidRPr="00FC274B" w:rsidRDefault="00FC274B" w:rsidP="00FC274B">
            <w:pPr>
              <w:jc w:val="center"/>
              <w:rPr>
                <w:sz w:val="20"/>
                <w:szCs w:val="20"/>
              </w:rPr>
            </w:pPr>
          </w:p>
        </w:tc>
        <w:tc>
          <w:tcPr>
            <w:tcW w:w="708" w:type="dxa"/>
            <w:tcBorders>
              <w:top w:val="nil"/>
              <w:left w:val="nil"/>
              <w:bottom w:val="nil"/>
              <w:right w:val="nil"/>
            </w:tcBorders>
            <w:shd w:val="clear" w:color="auto" w:fill="auto"/>
            <w:noWrap/>
            <w:vAlign w:val="bottom"/>
          </w:tcPr>
          <w:p w:rsidR="00FC274B" w:rsidRPr="00FC274B" w:rsidRDefault="00FC274B" w:rsidP="00FC274B">
            <w:pPr>
              <w:jc w:val="center"/>
              <w:rPr>
                <w:sz w:val="20"/>
                <w:szCs w:val="20"/>
              </w:rPr>
            </w:pPr>
          </w:p>
        </w:tc>
      </w:tr>
      <w:tr w:rsidR="00FC274B" w:rsidRPr="00387909" w:rsidTr="00C44A2C">
        <w:trPr>
          <w:trHeight w:val="255"/>
          <w:jc w:val="center"/>
        </w:trPr>
        <w:tc>
          <w:tcPr>
            <w:tcW w:w="2694" w:type="dxa"/>
            <w:tcBorders>
              <w:top w:val="nil"/>
              <w:left w:val="nil"/>
              <w:bottom w:val="single" w:sz="4" w:space="0" w:color="auto"/>
              <w:right w:val="nil"/>
            </w:tcBorders>
            <w:noWrap/>
            <w:vAlign w:val="bottom"/>
          </w:tcPr>
          <w:p w:rsidR="00FC274B" w:rsidRPr="00387909" w:rsidRDefault="00FC274B" w:rsidP="00FC274B">
            <w:pPr>
              <w:rPr>
                <w:rFonts w:eastAsia="Arial Unicode MS"/>
                <w:b/>
                <w:bCs/>
                <w:sz w:val="20"/>
                <w:szCs w:val="20"/>
              </w:rPr>
            </w:pPr>
            <w:r>
              <w:rPr>
                <w:b/>
                <w:sz w:val="20"/>
              </w:rPr>
              <w:t>Operating profit (Ebit)</w:t>
            </w:r>
          </w:p>
        </w:tc>
        <w:tc>
          <w:tcPr>
            <w:tcW w:w="737" w:type="dxa"/>
            <w:tcBorders>
              <w:top w:val="nil"/>
              <w:left w:val="nil"/>
              <w:bottom w:val="single" w:sz="4" w:space="0" w:color="auto"/>
              <w:right w:val="nil"/>
            </w:tcBorders>
            <w:shd w:val="clear" w:color="auto" w:fill="auto"/>
            <w:noWrap/>
            <w:vAlign w:val="bottom"/>
          </w:tcPr>
          <w:p w:rsidR="00FC274B" w:rsidRPr="00FC274B" w:rsidRDefault="00FC274B" w:rsidP="00FC274B">
            <w:pPr>
              <w:jc w:val="center"/>
              <w:rPr>
                <w:sz w:val="20"/>
                <w:szCs w:val="20"/>
              </w:rPr>
            </w:pPr>
            <w:r>
              <w:rPr>
                <w:sz w:val="20"/>
              </w:rPr>
              <w:t>43,263</w:t>
            </w:r>
          </w:p>
        </w:tc>
        <w:tc>
          <w:tcPr>
            <w:tcW w:w="691" w:type="dxa"/>
            <w:tcBorders>
              <w:top w:val="nil"/>
              <w:left w:val="nil"/>
              <w:bottom w:val="single" w:sz="4" w:space="0" w:color="auto"/>
              <w:right w:val="nil"/>
            </w:tcBorders>
            <w:shd w:val="clear" w:color="auto" w:fill="auto"/>
            <w:noWrap/>
            <w:vAlign w:val="bottom"/>
          </w:tcPr>
          <w:p w:rsidR="00FC274B" w:rsidRPr="00FC274B" w:rsidRDefault="00FC274B" w:rsidP="00FC274B">
            <w:pPr>
              <w:jc w:val="center"/>
              <w:rPr>
                <w:i/>
                <w:iCs/>
                <w:sz w:val="20"/>
                <w:szCs w:val="20"/>
              </w:rPr>
            </w:pPr>
            <w:r>
              <w:rPr>
                <w:i/>
                <w:sz w:val="20"/>
              </w:rPr>
              <w:t>25.6</w:t>
            </w:r>
          </w:p>
        </w:tc>
        <w:tc>
          <w:tcPr>
            <w:tcW w:w="851" w:type="dxa"/>
            <w:tcBorders>
              <w:top w:val="nil"/>
              <w:left w:val="nil"/>
              <w:bottom w:val="single" w:sz="4" w:space="0" w:color="auto"/>
              <w:right w:val="nil"/>
            </w:tcBorders>
            <w:shd w:val="clear" w:color="auto" w:fill="auto"/>
            <w:vAlign w:val="bottom"/>
          </w:tcPr>
          <w:p w:rsidR="00FC274B" w:rsidRPr="00FC274B" w:rsidRDefault="00FC274B" w:rsidP="00FC274B">
            <w:pPr>
              <w:jc w:val="center"/>
              <w:rPr>
                <w:sz w:val="20"/>
                <w:szCs w:val="20"/>
              </w:rPr>
            </w:pPr>
            <w:r>
              <w:rPr>
                <w:sz w:val="20"/>
              </w:rPr>
              <w:t>32,823</w:t>
            </w:r>
          </w:p>
        </w:tc>
        <w:tc>
          <w:tcPr>
            <w:tcW w:w="708" w:type="dxa"/>
            <w:tcBorders>
              <w:top w:val="nil"/>
              <w:left w:val="nil"/>
              <w:bottom w:val="single" w:sz="4" w:space="0" w:color="auto"/>
              <w:right w:val="nil"/>
            </w:tcBorders>
            <w:shd w:val="clear" w:color="auto" w:fill="auto"/>
            <w:vAlign w:val="bottom"/>
          </w:tcPr>
          <w:p w:rsidR="00FC274B" w:rsidRPr="00FC274B" w:rsidRDefault="00FC274B" w:rsidP="00FC274B">
            <w:pPr>
              <w:jc w:val="center"/>
              <w:rPr>
                <w:i/>
                <w:iCs/>
                <w:sz w:val="20"/>
                <w:szCs w:val="20"/>
              </w:rPr>
            </w:pPr>
            <w:r>
              <w:rPr>
                <w:i/>
                <w:sz w:val="20"/>
              </w:rPr>
              <w:t>22.0</w:t>
            </w:r>
          </w:p>
        </w:tc>
        <w:tc>
          <w:tcPr>
            <w:tcW w:w="726" w:type="dxa"/>
            <w:tcBorders>
              <w:top w:val="nil"/>
              <w:left w:val="nil"/>
              <w:bottom w:val="single" w:sz="4" w:space="0" w:color="auto"/>
              <w:right w:val="nil"/>
            </w:tcBorders>
            <w:shd w:val="clear" w:color="auto" w:fill="auto"/>
            <w:noWrap/>
            <w:vAlign w:val="bottom"/>
          </w:tcPr>
          <w:p w:rsidR="00FC274B" w:rsidRPr="00FC274B" w:rsidRDefault="00FC274B" w:rsidP="00FC274B">
            <w:pPr>
              <w:jc w:val="center"/>
              <w:rPr>
                <w:i/>
                <w:iCs/>
                <w:sz w:val="20"/>
                <w:szCs w:val="20"/>
              </w:rPr>
            </w:pPr>
            <w:r>
              <w:rPr>
                <w:i/>
                <w:sz w:val="20"/>
              </w:rPr>
              <w:t>31.8%</w:t>
            </w:r>
          </w:p>
        </w:tc>
        <w:tc>
          <w:tcPr>
            <w:tcW w:w="812" w:type="dxa"/>
            <w:tcBorders>
              <w:top w:val="nil"/>
              <w:left w:val="nil"/>
              <w:bottom w:val="single" w:sz="4" w:space="0" w:color="auto"/>
              <w:right w:val="nil"/>
            </w:tcBorders>
            <w:shd w:val="clear" w:color="auto" w:fill="auto"/>
            <w:noWrap/>
            <w:vAlign w:val="bottom"/>
          </w:tcPr>
          <w:p w:rsidR="00FC274B" w:rsidRPr="00FC274B" w:rsidRDefault="00FC274B" w:rsidP="00FC274B">
            <w:pPr>
              <w:jc w:val="center"/>
              <w:rPr>
                <w:sz w:val="20"/>
                <w:szCs w:val="20"/>
              </w:rPr>
            </w:pPr>
            <w:r>
              <w:rPr>
                <w:sz w:val="20"/>
              </w:rPr>
              <w:t>10,835</w:t>
            </w:r>
          </w:p>
        </w:tc>
        <w:tc>
          <w:tcPr>
            <w:tcW w:w="628" w:type="dxa"/>
            <w:tcBorders>
              <w:top w:val="nil"/>
              <w:left w:val="nil"/>
              <w:bottom w:val="single" w:sz="4" w:space="0" w:color="auto"/>
              <w:right w:val="nil"/>
            </w:tcBorders>
            <w:shd w:val="clear" w:color="auto" w:fill="auto"/>
            <w:vAlign w:val="bottom"/>
          </w:tcPr>
          <w:p w:rsidR="00FC274B" w:rsidRPr="00FC274B" w:rsidRDefault="00FC274B" w:rsidP="00FC274B">
            <w:pPr>
              <w:jc w:val="center"/>
              <w:rPr>
                <w:i/>
                <w:iCs/>
                <w:sz w:val="20"/>
                <w:szCs w:val="20"/>
              </w:rPr>
            </w:pPr>
            <w:r>
              <w:rPr>
                <w:i/>
                <w:sz w:val="20"/>
              </w:rPr>
              <w:t>21.1</w:t>
            </w:r>
          </w:p>
        </w:tc>
        <w:tc>
          <w:tcPr>
            <w:tcW w:w="828" w:type="dxa"/>
            <w:tcBorders>
              <w:top w:val="nil"/>
              <w:left w:val="nil"/>
              <w:bottom w:val="single" w:sz="4" w:space="0" w:color="auto"/>
              <w:right w:val="nil"/>
            </w:tcBorders>
            <w:shd w:val="clear" w:color="auto" w:fill="auto"/>
            <w:vAlign w:val="bottom"/>
          </w:tcPr>
          <w:p w:rsidR="00FC274B" w:rsidRPr="00FC274B" w:rsidRDefault="00FC274B" w:rsidP="00FC274B">
            <w:pPr>
              <w:jc w:val="center"/>
              <w:rPr>
                <w:sz w:val="20"/>
                <w:szCs w:val="20"/>
              </w:rPr>
            </w:pPr>
            <w:r>
              <w:rPr>
                <w:sz w:val="20"/>
              </w:rPr>
              <w:t>8,175</w:t>
            </w:r>
          </w:p>
        </w:tc>
        <w:tc>
          <w:tcPr>
            <w:tcW w:w="540" w:type="dxa"/>
            <w:tcBorders>
              <w:top w:val="nil"/>
              <w:left w:val="nil"/>
              <w:bottom w:val="single" w:sz="4" w:space="0" w:color="auto"/>
              <w:right w:val="nil"/>
            </w:tcBorders>
            <w:shd w:val="clear" w:color="auto" w:fill="auto"/>
            <w:vAlign w:val="bottom"/>
          </w:tcPr>
          <w:p w:rsidR="00FC274B" w:rsidRPr="00FC274B" w:rsidRDefault="00FC274B" w:rsidP="00FC274B">
            <w:pPr>
              <w:jc w:val="center"/>
              <w:rPr>
                <w:i/>
                <w:iCs/>
                <w:sz w:val="20"/>
                <w:szCs w:val="20"/>
              </w:rPr>
            </w:pPr>
            <w:r>
              <w:rPr>
                <w:i/>
                <w:sz w:val="20"/>
              </w:rPr>
              <w:t>18.3</w:t>
            </w:r>
          </w:p>
        </w:tc>
        <w:tc>
          <w:tcPr>
            <w:tcW w:w="708" w:type="dxa"/>
            <w:tcBorders>
              <w:top w:val="nil"/>
              <w:left w:val="nil"/>
              <w:bottom w:val="single" w:sz="4" w:space="0" w:color="auto"/>
              <w:right w:val="nil"/>
            </w:tcBorders>
            <w:shd w:val="clear" w:color="auto" w:fill="auto"/>
            <w:noWrap/>
            <w:vAlign w:val="bottom"/>
          </w:tcPr>
          <w:p w:rsidR="00FC274B" w:rsidRPr="00FC274B" w:rsidRDefault="00FC274B" w:rsidP="00FC274B">
            <w:pPr>
              <w:jc w:val="center"/>
              <w:rPr>
                <w:i/>
                <w:iCs/>
                <w:sz w:val="20"/>
                <w:szCs w:val="20"/>
              </w:rPr>
            </w:pPr>
            <w:r>
              <w:rPr>
                <w:i/>
                <w:sz w:val="20"/>
              </w:rPr>
              <w:t>32.5%</w:t>
            </w:r>
          </w:p>
        </w:tc>
      </w:tr>
      <w:tr w:rsidR="00FC274B" w:rsidRPr="00387909" w:rsidTr="00C44A2C">
        <w:trPr>
          <w:trHeight w:hRule="exact" w:val="227"/>
          <w:jc w:val="center"/>
        </w:trPr>
        <w:tc>
          <w:tcPr>
            <w:tcW w:w="2694" w:type="dxa"/>
            <w:tcBorders>
              <w:top w:val="nil"/>
              <w:left w:val="nil"/>
              <w:right w:val="nil"/>
            </w:tcBorders>
            <w:noWrap/>
            <w:vAlign w:val="bottom"/>
          </w:tcPr>
          <w:p w:rsidR="00FC274B" w:rsidRPr="00387909" w:rsidRDefault="00FC274B" w:rsidP="00FC274B">
            <w:pPr>
              <w:rPr>
                <w:rFonts w:eastAsia="Arial Unicode MS"/>
                <w:sz w:val="20"/>
                <w:szCs w:val="20"/>
              </w:rPr>
            </w:pPr>
          </w:p>
        </w:tc>
        <w:tc>
          <w:tcPr>
            <w:tcW w:w="737" w:type="dxa"/>
            <w:tcBorders>
              <w:top w:val="nil"/>
              <w:left w:val="nil"/>
              <w:bottom w:val="nil"/>
              <w:right w:val="nil"/>
            </w:tcBorders>
            <w:shd w:val="clear" w:color="auto" w:fill="auto"/>
            <w:noWrap/>
            <w:vAlign w:val="bottom"/>
          </w:tcPr>
          <w:p w:rsidR="00FC274B" w:rsidRPr="00FC274B" w:rsidRDefault="00FC274B" w:rsidP="00FC274B">
            <w:pPr>
              <w:jc w:val="center"/>
              <w:rPr>
                <w:i/>
                <w:iCs/>
                <w:sz w:val="20"/>
                <w:szCs w:val="20"/>
              </w:rPr>
            </w:pPr>
          </w:p>
        </w:tc>
        <w:tc>
          <w:tcPr>
            <w:tcW w:w="691" w:type="dxa"/>
            <w:tcBorders>
              <w:top w:val="nil"/>
              <w:left w:val="nil"/>
              <w:bottom w:val="nil"/>
              <w:right w:val="nil"/>
            </w:tcBorders>
            <w:shd w:val="clear" w:color="auto" w:fill="auto"/>
            <w:noWrap/>
            <w:vAlign w:val="bottom"/>
          </w:tcPr>
          <w:p w:rsidR="00FC274B" w:rsidRPr="00FC274B" w:rsidRDefault="00FC274B" w:rsidP="00FC274B">
            <w:pPr>
              <w:jc w:val="center"/>
              <w:rPr>
                <w:sz w:val="20"/>
                <w:szCs w:val="20"/>
              </w:rPr>
            </w:pPr>
          </w:p>
        </w:tc>
        <w:tc>
          <w:tcPr>
            <w:tcW w:w="851" w:type="dxa"/>
            <w:tcBorders>
              <w:top w:val="nil"/>
              <w:left w:val="nil"/>
              <w:bottom w:val="nil"/>
              <w:right w:val="nil"/>
            </w:tcBorders>
            <w:shd w:val="clear" w:color="auto" w:fill="auto"/>
            <w:vAlign w:val="bottom"/>
          </w:tcPr>
          <w:p w:rsidR="00FC274B" w:rsidRPr="00FC274B" w:rsidRDefault="00FC274B" w:rsidP="00FC274B">
            <w:pPr>
              <w:jc w:val="center"/>
              <w:rPr>
                <w:sz w:val="20"/>
                <w:szCs w:val="20"/>
              </w:rPr>
            </w:pPr>
          </w:p>
        </w:tc>
        <w:tc>
          <w:tcPr>
            <w:tcW w:w="708" w:type="dxa"/>
            <w:tcBorders>
              <w:top w:val="nil"/>
              <w:left w:val="nil"/>
              <w:bottom w:val="nil"/>
              <w:right w:val="nil"/>
            </w:tcBorders>
            <w:shd w:val="clear" w:color="auto" w:fill="auto"/>
            <w:vAlign w:val="bottom"/>
          </w:tcPr>
          <w:p w:rsidR="00FC274B" w:rsidRPr="00FC274B" w:rsidRDefault="00FC274B" w:rsidP="00FC274B">
            <w:pPr>
              <w:jc w:val="center"/>
              <w:rPr>
                <w:sz w:val="20"/>
                <w:szCs w:val="20"/>
              </w:rPr>
            </w:pPr>
          </w:p>
        </w:tc>
        <w:tc>
          <w:tcPr>
            <w:tcW w:w="726" w:type="dxa"/>
            <w:tcBorders>
              <w:top w:val="nil"/>
              <w:left w:val="nil"/>
              <w:bottom w:val="nil"/>
              <w:right w:val="nil"/>
            </w:tcBorders>
            <w:shd w:val="clear" w:color="auto" w:fill="auto"/>
            <w:noWrap/>
            <w:vAlign w:val="bottom"/>
          </w:tcPr>
          <w:p w:rsidR="00FC274B" w:rsidRPr="00FC274B" w:rsidRDefault="00FC274B" w:rsidP="00FC274B">
            <w:pPr>
              <w:jc w:val="center"/>
              <w:rPr>
                <w:sz w:val="20"/>
                <w:szCs w:val="20"/>
              </w:rPr>
            </w:pPr>
          </w:p>
        </w:tc>
        <w:tc>
          <w:tcPr>
            <w:tcW w:w="812" w:type="dxa"/>
            <w:tcBorders>
              <w:top w:val="nil"/>
              <w:left w:val="nil"/>
              <w:bottom w:val="nil"/>
              <w:right w:val="nil"/>
            </w:tcBorders>
            <w:shd w:val="clear" w:color="auto" w:fill="auto"/>
            <w:noWrap/>
            <w:vAlign w:val="bottom"/>
          </w:tcPr>
          <w:p w:rsidR="00FC274B" w:rsidRPr="00FC274B" w:rsidRDefault="00FC274B" w:rsidP="00FC274B">
            <w:pPr>
              <w:jc w:val="center"/>
              <w:rPr>
                <w:i/>
                <w:iCs/>
                <w:sz w:val="20"/>
                <w:szCs w:val="20"/>
              </w:rPr>
            </w:pPr>
          </w:p>
        </w:tc>
        <w:tc>
          <w:tcPr>
            <w:tcW w:w="628" w:type="dxa"/>
            <w:tcBorders>
              <w:top w:val="nil"/>
              <w:left w:val="nil"/>
              <w:bottom w:val="nil"/>
              <w:right w:val="nil"/>
            </w:tcBorders>
            <w:shd w:val="clear" w:color="auto" w:fill="auto"/>
            <w:vAlign w:val="bottom"/>
          </w:tcPr>
          <w:p w:rsidR="00FC274B" w:rsidRPr="00FC274B" w:rsidRDefault="00FC274B" w:rsidP="00FC274B">
            <w:pPr>
              <w:jc w:val="center"/>
              <w:rPr>
                <w:sz w:val="20"/>
                <w:szCs w:val="20"/>
              </w:rPr>
            </w:pPr>
          </w:p>
        </w:tc>
        <w:tc>
          <w:tcPr>
            <w:tcW w:w="828" w:type="dxa"/>
            <w:tcBorders>
              <w:top w:val="nil"/>
              <w:left w:val="nil"/>
              <w:bottom w:val="nil"/>
              <w:right w:val="nil"/>
            </w:tcBorders>
            <w:shd w:val="clear" w:color="auto" w:fill="auto"/>
            <w:vAlign w:val="bottom"/>
          </w:tcPr>
          <w:p w:rsidR="00FC274B" w:rsidRPr="00FC274B" w:rsidRDefault="00FC274B" w:rsidP="00FC274B">
            <w:pPr>
              <w:jc w:val="center"/>
              <w:rPr>
                <w:sz w:val="20"/>
                <w:szCs w:val="20"/>
              </w:rPr>
            </w:pPr>
          </w:p>
        </w:tc>
        <w:tc>
          <w:tcPr>
            <w:tcW w:w="540" w:type="dxa"/>
            <w:tcBorders>
              <w:top w:val="nil"/>
              <w:left w:val="nil"/>
              <w:bottom w:val="nil"/>
              <w:right w:val="nil"/>
            </w:tcBorders>
            <w:shd w:val="clear" w:color="auto" w:fill="auto"/>
            <w:vAlign w:val="bottom"/>
          </w:tcPr>
          <w:p w:rsidR="00FC274B" w:rsidRPr="00FC274B" w:rsidRDefault="00FC274B" w:rsidP="00FC274B">
            <w:pPr>
              <w:jc w:val="center"/>
              <w:rPr>
                <w:sz w:val="20"/>
                <w:szCs w:val="20"/>
              </w:rPr>
            </w:pPr>
          </w:p>
        </w:tc>
        <w:tc>
          <w:tcPr>
            <w:tcW w:w="708" w:type="dxa"/>
            <w:tcBorders>
              <w:top w:val="nil"/>
              <w:left w:val="nil"/>
              <w:bottom w:val="nil"/>
              <w:right w:val="nil"/>
            </w:tcBorders>
            <w:shd w:val="clear" w:color="auto" w:fill="auto"/>
            <w:noWrap/>
            <w:vAlign w:val="bottom"/>
          </w:tcPr>
          <w:p w:rsidR="00FC274B" w:rsidRPr="00FC274B" w:rsidRDefault="00FC274B" w:rsidP="00FC274B">
            <w:pPr>
              <w:jc w:val="center"/>
              <w:rPr>
                <w:sz w:val="20"/>
                <w:szCs w:val="20"/>
              </w:rPr>
            </w:pPr>
          </w:p>
        </w:tc>
      </w:tr>
      <w:tr w:rsidR="00FC274B" w:rsidTr="00C44A2C">
        <w:trPr>
          <w:trHeight w:val="255"/>
          <w:jc w:val="center"/>
        </w:trPr>
        <w:tc>
          <w:tcPr>
            <w:tcW w:w="2694" w:type="dxa"/>
            <w:tcBorders>
              <w:top w:val="nil"/>
              <w:left w:val="nil"/>
              <w:bottom w:val="single" w:sz="4" w:space="0" w:color="auto"/>
              <w:right w:val="nil"/>
            </w:tcBorders>
            <w:noWrap/>
            <w:vAlign w:val="bottom"/>
          </w:tcPr>
          <w:p w:rsidR="00FC274B" w:rsidRPr="00387909" w:rsidRDefault="00FC274B" w:rsidP="00FC274B">
            <w:pPr>
              <w:rPr>
                <w:rFonts w:eastAsia="Arial Unicode MS"/>
                <w:b/>
                <w:bCs/>
                <w:sz w:val="20"/>
                <w:szCs w:val="20"/>
              </w:rPr>
            </w:pPr>
            <w:r>
              <w:rPr>
                <w:b/>
                <w:sz w:val="20"/>
              </w:rPr>
              <w:t>Profit prior to taxes</w:t>
            </w:r>
          </w:p>
        </w:tc>
        <w:tc>
          <w:tcPr>
            <w:tcW w:w="737" w:type="dxa"/>
            <w:tcBorders>
              <w:top w:val="nil"/>
              <w:left w:val="nil"/>
              <w:bottom w:val="single" w:sz="4" w:space="0" w:color="auto"/>
              <w:right w:val="nil"/>
            </w:tcBorders>
            <w:shd w:val="clear" w:color="auto" w:fill="auto"/>
            <w:noWrap/>
            <w:vAlign w:val="bottom"/>
          </w:tcPr>
          <w:p w:rsidR="00FC274B" w:rsidRPr="00FC274B" w:rsidRDefault="00FC274B" w:rsidP="00FC274B">
            <w:pPr>
              <w:jc w:val="center"/>
              <w:rPr>
                <w:sz w:val="20"/>
                <w:szCs w:val="20"/>
              </w:rPr>
            </w:pPr>
            <w:r>
              <w:rPr>
                <w:sz w:val="20"/>
              </w:rPr>
              <w:t>43,147</w:t>
            </w:r>
          </w:p>
        </w:tc>
        <w:tc>
          <w:tcPr>
            <w:tcW w:w="691" w:type="dxa"/>
            <w:tcBorders>
              <w:top w:val="nil"/>
              <w:left w:val="nil"/>
              <w:bottom w:val="single" w:sz="4" w:space="0" w:color="auto"/>
              <w:right w:val="nil"/>
            </w:tcBorders>
            <w:shd w:val="clear" w:color="auto" w:fill="auto"/>
            <w:noWrap/>
            <w:vAlign w:val="bottom"/>
          </w:tcPr>
          <w:p w:rsidR="00FC274B" w:rsidRPr="00FC274B" w:rsidRDefault="00FC274B" w:rsidP="00FC274B">
            <w:pPr>
              <w:jc w:val="center"/>
              <w:rPr>
                <w:i/>
                <w:iCs/>
                <w:sz w:val="20"/>
                <w:szCs w:val="20"/>
              </w:rPr>
            </w:pPr>
            <w:r>
              <w:rPr>
                <w:i/>
                <w:sz w:val="20"/>
              </w:rPr>
              <w:t>25.5</w:t>
            </w:r>
          </w:p>
        </w:tc>
        <w:tc>
          <w:tcPr>
            <w:tcW w:w="851" w:type="dxa"/>
            <w:tcBorders>
              <w:top w:val="nil"/>
              <w:left w:val="nil"/>
              <w:bottom w:val="single" w:sz="4" w:space="0" w:color="auto"/>
              <w:right w:val="nil"/>
            </w:tcBorders>
            <w:shd w:val="clear" w:color="auto" w:fill="auto"/>
            <w:vAlign w:val="bottom"/>
          </w:tcPr>
          <w:p w:rsidR="00FC274B" w:rsidRPr="00FC274B" w:rsidRDefault="00FC274B" w:rsidP="00FC274B">
            <w:pPr>
              <w:jc w:val="center"/>
              <w:rPr>
                <w:sz w:val="20"/>
                <w:szCs w:val="20"/>
              </w:rPr>
            </w:pPr>
            <w:r>
              <w:rPr>
                <w:sz w:val="20"/>
              </w:rPr>
              <w:t>32,938</w:t>
            </w:r>
          </w:p>
        </w:tc>
        <w:tc>
          <w:tcPr>
            <w:tcW w:w="708" w:type="dxa"/>
            <w:tcBorders>
              <w:top w:val="nil"/>
              <w:left w:val="nil"/>
              <w:bottom w:val="single" w:sz="4" w:space="0" w:color="auto"/>
              <w:right w:val="nil"/>
            </w:tcBorders>
            <w:shd w:val="clear" w:color="auto" w:fill="auto"/>
            <w:vAlign w:val="bottom"/>
          </w:tcPr>
          <w:p w:rsidR="00FC274B" w:rsidRPr="00FC274B" w:rsidRDefault="00FC274B" w:rsidP="00FC274B">
            <w:pPr>
              <w:jc w:val="center"/>
              <w:rPr>
                <w:i/>
                <w:iCs/>
                <w:sz w:val="20"/>
                <w:szCs w:val="20"/>
              </w:rPr>
            </w:pPr>
            <w:r>
              <w:rPr>
                <w:i/>
                <w:sz w:val="20"/>
              </w:rPr>
              <w:t>22.1</w:t>
            </w:r>
          </w:p>
        </w:tc>
        <w:tc>
          <w:tcPr>
            <w:tcW w:w="726" w:type="dxa"/>
            <w:tcBorders>
              <w:top w:val="nil"/>
              <w:left w:val="nil"/>
              <w:bottom w:val="single" w:sz="4" w:space="0" w:color="auto"/>
              <w:right w:val="nil"/>
            </w:tcBorders>
            <w:shd w:val="clear" w:color="auto" w:fill="auto"/>
            <w:noWrap/>
            <w:vAlign w:val="bottom"/>
          </w:tcPr>
          <w:p w:rsidR="00FC274B" w:rsidRPr="00FC274B" w:rsidRDefault="00FC274B" w:rsidP="00FC274B">
            <w:pPr>
              <w:jc w:val="center"/>
              <w:rPr>
                <w:i/>
                <w:iCs/>
                <w:sz w:val="20"/>
                <w:szCs w:val="20"/>
              </w:rPr>
            </w:pPr>
            <w:r>
              <w:rPr>
                <w:i/>
                <w:sz w:val="20"/>
              </w:rPr>
              <w:t>31.0%</w:t>
            </w:r>
          </w:p>
        </w:tc>
        <w:tc>
          <w:tcPr>
            <w:tcW w:w="812" w:type="dxa"/>
            <w:tcBorders>
              <w:top w:val="nil"/>
              <w:left w:val="nil"/>
              <w:bottom w:val="single" w:sz="4" w:space="0" w:color="auto"/>
              <w:right w:val="nil"/>
            </w:tcBorders>
            <w:shd w:val="clear" w:color="auto" w:fill="auto"/>
            <w:noWrap/>
            <w:vAlign w:val="bottom"/>
          </w:tcPr>
          <w:p w:rsidR="00FC274B" w:rsidRPr="00FC274B" w:rsidRDefault="00FC274B" w:rsidP="00FC274B">
            <w:pPr>
              <w:jc w:val="center"/>
              <w:rPr>
                <w:sz w:val="20"/>
                <w:szCs w:val="20"/>
              </w:rPr>
            </w:pPr>
            <w:r>
              <w:rPr>
                <w:sz w:val="20"/>
              </w:rPr>
              <w:t>10,697</w:t>
            </w:r>
          </w:p>
        </w:tc>
        <w:tc>
          <w:tcPr>
            <w:tcW w:w="628" w:type="dxa"/>
            <w:tcBorders>
              <w:top w:val="nil"/>
              <w:left w:val="nil"/>
              <w:bottom w:val="single" w:sz="4" w:space="0" w:color="auto"/>
              <w:right w:val="nil"/>
            </w:tcBorders>
            <w:shd w:val="clear" w:color="auto" w:fill="auto"/>
            <w:vAlign w:val="bottom"/>
          </w:tcPr>
          <w:p w:rsidR="00FC274B" w:rsidRPr="00FC274B" w:rsidRDefault="00FC274B" w:rsidP="00FC274B">
            <w:pPr>
              <w:jc w:val="center"/>
              <w:rPr>
                <w:i/>
                <w:iCs/>
                <w:sz w:val="20"/>
                <w:szCs w:val="20"/>
              </w:rPr>
            </w:pPr>
            <w:r>
              <w:rPr>
                <w:i/>
                <w:sz w:val="20"/>
              </w:rPr>
              <w:t>20.8</w:t>
            </w:r>
          </w:p>
        </w:tc>
        <w:tc>
          <w:tcPr>
            <w:tcW w:w="828" w:type="dxa"/>
            <w:tcBorders>
              <w:top w:val="nil"/>
              <w:left w:val="nil"/>
              <w:bottom w:val="single" w:sz="4" w:space="0" w:color="auto"/>
              <w:right w:val="nil"/>
            </w:tcBorders>
            <w:shd w:val="clear" w:color="auto" w:fill="auto"/>
            <w:vAlign w:val="bottom"/>
          </w:tcPr>
          <w:p w:rsidR="00FC274B" w:rsidRPr="00FC274B" w:rsidRDefault="00FC274B" w:rsidP="00FC274B">
            <w:pPr>
              <w:jc w:val="center"/>
              <w:rPr>
                <w:sz w:val="20"/>
                <w:szCs w:val="20"/>
              </w:rPr>
            </w:pPr>
            <w:r>
              <w:rPr>
                <w:sz w:val="20"/>
              </w:rPr>
              <w:t>8,266</w:t>
            </w:r>
          </w:p>
        </w:tc>
        <w:tc>
          <w:tcPr>
            <w:tcW w:w="540" w:type="dxa"/>
            <w:tcBorders>
              <w:top w:val="nil"/>
              <w:left w:val="nil"/>
              <w:bottom w:val="single" w:sz="4" w:space="0" w:color="auto"/>
              <w:right w:val="nil"/>
            </w:tcBorders>
            <w:shd w:val="clear" w:color="auto" w:fill="auto"/>
            <w:vAlign w:val="bottom"/>
          </w:tcPr>
          <w:p w:rsidR="00FC274B" w:rsidRPr="00FC274B" w:rsidRDefault="00FC274B" w:rsidP="00FC274B">
            <w:pPr>
              <w:jc w:val="center"/>
              <w:rPr>
                <w:i/>
                <w:iCs/>
                <w:sz w:val="20"/>
                <w:szCs w:val="20"/>
              </w:rPr>
            </w:pPr>
            <w:r>
              <w:rPr>
                <w:i/>
                <w:sz w:val="20"/>
              </w:rPr>
              <w:t>18.5</w:t>
            </w:r>
          </w:p>
        </w:tc>
        <w:tc>
          <w:tcPr>
            <w:tcW w:w="708" w:type="dxa"/>
            <w:tcBorders>
              <w:top w:val="nil"/>
              <w:left w:val="nil"/>
              <w:bottom w:val="single" w:sz="4" w:space="0" w:color="auto"/>
              <w:right w:val="nil"/>
            </w:tcBorders>
            <w:shd w:val="clear" w:color="auto" w:fill="auto"/>
            <w:noWrap/>
            <w:vAlign w:val="bottom"/>
          </w:tcPr>
          <w:p w:rsidR="00FC274B" w:rsidRPr="00FC274B" w:rsidRDefault="00FC274B" w:rsidP="00FC274B">
            <w:pPr>
              <w:jc w:val="center"/>
              <w:rPr>
                <w:i/>
                <w:iCs/>
                <w:sz w:val="20"/>
                <w:szCs w:val="20"/>
              </w:rPr>
            </w:pPr>
            <w:r>
              <w:rPr>
                <w:i/>
                <w:sz w:val="20"/>
              </w:rPr>
              <w:t>29.4%</w:t>
            </w:r>
          </w:p>
        </w:tc>
      </w:tr>
      <w:tr w:rsidR="00FC274B" w:rsidTr="00C44A2C">
        <w:trPr>
          <w:trHeight w:val="255"/>
          <w:jc w:val="center"/>
        </w:trPr>
        <w:tc>
          <w:tcPr>
            <w:tcW w:w="2694" w:type="dxa"/>
            <w:tcBorders>
              <w:top w:val="single" w:sz="4" w:space="0" w:color="auto"/>
              <w:left w:val="nil"/>
              <w:right w:val="nil"/>
            </w:tcBorders>
            <w:noWrap/>
            <w:vAlign w:val="bottom"/>
          </w:tcPr>
          <w:p w:rsidR="00FC274B" w:rsidRPr="00387909" w:rsidRDefault="00FC274B" w:rsidP="00FC274B">
            <w:pPr>
              <w:rPr>
                <w:b/>
                <w:bCs/>
                <w:sz w:val="20"/>
                <w:szCs w:val="20"/>
              </w:rPr>
            </w:pPr>
          </w:p>
        </w:tc>
        <w:tc>
          <w:tcPr>
            <w:tcW w:w="737" w:type="dxa"/>
            <w:tcBorders>
              <w:top w:val="nil"/>
              <w:left w:val="nil"/>
              <w:bottom w:val="nil"/>
              <w:right w:val="nil"/>
            </w:tcBorders>
            <w:shd w:val="clear" w:color="auto" w:fill="auto"/>
            <w:noWrap/>
            <w:vAlign w:val="bottom"/>
          </w:tcPr>
          <w:p w:rsidR="00FC274B" w:rsidRPr="00FC274B" w:rsidRDefault="00FC274B" w:rsidP="00FC274B">
            <w:pPr>
              <w:jc w:val="center"/>
              <w:rPr>
                <w:i/>
                <w:iCs/>
                <w:sz w:val="20"/>
                <w:szCs w:val="20"/>
              </w:rPr>
            </w:pPr>
          </w:p>
        </w:tc>
        <w:tc>
          <w:tcPr>
            <w:tcW w:w="691" w:type="dxa"/>
            <w:tcBorders>
              <w:top w:val="nil"/>
              <w:left w:val="nil"/>
              <w:bottom w:val="nil"/>
              <w:right w:val="nil"/>
            </w:tcBorders>
            <w:shd w:val="clear" w:color="auto" w:fill="auto"/>
            <w:noWrap/>
            <w:vAlign w:val="bottom"/>
          </w:tcPr>
          <w:p w:rsidR="00FC274B" w:rsidRPr="00FC274B" w:rsidRDefault="00FC274B" w:rsidP="00FC274B">
            <w:pPr>
              <w:rPr>
                <w:sz w:val="20"/>
                <w:szCs w:val="20"/>
              </w:rPr>
            </w:pPr>
          </w:p>
        </w:tc>
        <w:tc>
          <w:tcPr>
            <w:tcW w:w="851" w:type="dxa"/>
            <w:tcBorders>
              <w:top w:val="nil"/>
              <w:left w:val="nil"/>
              <w:bottom w:val="nil"/>
              <w:right w:val="nil"/>
            </w:tcBorders>
            <w:shd w:val="clear" w:color="auto" w:fill="auto"/>
            <w:vAlign w:val="bottom"/>
          </w:tcPr>
          <w:p w:rsidR="00FC274B" w:rsidRPr="00FC274B" w:rsidRDefault="00FC274B" w:rsidP="00FC274B">
            <w:pPr>
              <w:rPr>
                <w:sz w:val="20"/>
                <w:szCs w:val="20"/>
              </w:rPr>
            </w:pPr>
          </w:p>
        </w:tc>
        <w:tc>
          <w:tcPr>
            <w:tcW w:w="708" w:type="dxa"/>
            <w:tcBorders>
              <w:top w:val="nil"/>
              <w:left w:val="nil"/>
              <w:bottom w:val="nil"/>
              <w:right w:val="nil"/>
            </w:tcBorders>
            <w:shd w:val="clear" w:color="auto" w:fill="auto"/>
            <w:vAlign w:val="bottom"/>
          </w:tcPr>
          <w:p w:rsidR="00FC274B" w:rsidRPr="00FC274B" w:rsidRDefault="00FC274B" w:rsidP="00FC274B">
            <w:pPr>
              <w:rPr>
                <w:sz w:val="20"/>
                <w:szCs w:val="20"/>
              </w:rPr>
            </w:pPr>
          </w:p>
        </w:tc>
        <w:tc>
          <w:tcPr>
            <w:tcW w:w="726" w:type="dxa"/>
            <w:tcBorders>
              <w:top w:val="nil"/>
              <w:left w:val="nil"/>
              <w:bottom w:val="nil"/>
              <w:right w:val="nil"/>
            </w:tcBorders>
            <w:shd w:val="clear" w:color="auto" w:fill="auto"/>
            <w:noWrap/>
            <w:vAlign w:val="bottom"/>
          </w:tcPr>
          <w:p w:rsidR="00FC274B" w:rsidRPr="00FC274B" w:rsidRDefault="00FC274B" w:rsidP="00FC274B">
            <w:pPr>
              <w:rPr>
                <w:sz w:val="20"/>
                <w:szCs w:val="20"/>
              </w:rPr>
            </w:pPr>
          </w:p>
        </w:tc>
        <w:tc>
          <w:tcPr>
            <w:tcW w:w="812" w:type="dxa"/>
            <w:tcBorders>
              <w:top w:val="nil"/>
              <w:left w:val="nil"/>
              <w:bottom w:val="nil"/>
              <w:right w:val="nil"/>
            </w:tcBorders>
            <w:shd w:val="clear" w:color="auto" w:fill="auto"/>
            <w:noWrap/>
            <w:vAlign w:val="bottom"/>
          </w:tcPr>
          <w:p w:rsidR="00FC274B" w:rsidRPr="00FC274B" w:rsidRDefault="00FC274B" w:rsidP="00FC274B">
            <w:pPr>
              <w:jc w:val="center"/>
              <w:rPr>
                <w:i/>
                <w:iCs/>
                <w:sz w:val="20"/>
                <w:szCs w:val="20"/>
              </w:rPr>
            </w:pPr>
          </w:p>
        </w:tc>
        <w:tc>
          <w:tcPr>
            <w:tcW w:w="628" w:type="dxa"/>
            <w:tcBorders>
              <w:top w:val="nil"/>
              <w:left w:val="nil"/>
              <w:bottom w:val="nil"/>
              <w:right w:val="nil"/>
            </w:tcBorders>
            <w:shd w:val="clear" w:color="auto" w:fill="auto"/>
            <w:vAlign w:val="bottom"/>
          </w:tcPr>
          <w:p w:rsidR="00FC274B" w:rsidRPr="00FC274B" w:rsidRDefault="00FC274B" w:rsidP="00FC274B">
            <w:pPr>
              <w:rPr>
                <w:sz w:val="20"/>
                <w:szCs w:val="20"/>
              </w:rPr>
            </w:pPr>
          </w:p>
        </w:tc>
        <w:tc>
          <w:tcPr>
            <w:tcW w:w="828" w:type="dxa"/>
            <w:tcBorders>
              <w:top w:val="nil"/>
              <w:left w:val="nil"/>
              <w:bottom w:val="nil"/>
              <w:right w:val="nil"/>
            </w:tcBorders>
            <w:shd w:val="clear" w:color="auto" w:fill="auto"/>
            <w:vAlign w:val="bottom"/>
          </w:tcPr>
          <w:p w:rsidR="00FC274B" w:rsidRPr="00FC274B" w:rsidRDefault="00FC274B" w:rsidP="00FC274B">
            <w:pPr>
              <w:jc w:val="center"/>
              <w:rPr>
                <w:sz w:val="20"/>
                <w:szCs w:val="20"/>
              </w:rPr>
            </w:pPr>
          </w:p>
        </w:tc>
        <w:tc>
          <w:tcPr>
            <w:tcW w:w="540" w:type="dxa"/>
            <w:tcBorders>
              <w:top w:val="nil"/>
              <w:left w:val="nil"/>
              <w:bottom w:val="nil"/>
              <w:right w:val="nil"/>
            </w:tcBorders>
            <w:shd w:val="clear" w:color="auto" w:fill="auto"/>
            <w:vAlign w:val="bottom"/>
          </w:tcPr>
          <w:p w:rsidR="00FC274B" w:rsidRPr="00FC274B" w:rsidRDefault="00FC274B" w:rsidP="00FC274B">
            <w:pPr>
              <w:rPr>
                <w:sz w:val="20"/>
                <w:szCs w:val="20"/>
              </w:rPr>
            </w:pPr>
          </w:p>
        </w:tc>
        <w:tc>
          <w:tcPr>
            <w:tcW w:w="708" w:type="dxa"/>
            <w:tcBorders>
              <w:top w:val="nil"/>
              <w:left w:val="nil"/>
              <w:bottom w:val="nil"/>
              <w:right w:val="nil"/>
            </w:tcBorders>
            <w:shd w:val="clear" w:color="auto" w:fill="auto"/>
            <w:noWrap/>
            <w:vAlign w:val="bottom"/>
          </w:tcPr>
          <w:p w:rsidR="00FC274B" w:rsidRPr="00FC274B" w:rsidRDefault="00FC274B" w:rsidP="00FC274B">
            <w:pPr>
              <w:jc w:val="center"/>
              <w:rPr>
                <w:sz w:val="20"/>
                <w:szCs w:val="20"/>
              </w:rPr>
            </w:pPr>
          </w:p>
        </w:tc>
      </w:tr>
      <w:tr w:rsidR="00FC274B" w:rsidTr="00C44A2C">
        <w:trPr>
          <w:trHeight w:val="255"/>
          <w:jc w:val="center"/>
        </w:trPr>
        <w:tc>
          <w:tcPr>
            <w:tcW w:w="2694" w:type="dxa"/>
            <w:tcBorders>
              <w:top w:val="nil"/>
              <w:left w:val="nil"/>
              <w:bottom w:val="single" w:sz="4" w:space="0" w:color="auto"/>
              <w:right w:val="nil"/>
            </w:tcBorders>
            <w:noWrap/>
            <w:vAlign w:val="bottom"/>
          </w:tcPr>
          <w:p w:rsidR="00FC274B" w:rsidRPr="00387909" w:rsidRDefault="00FC274B" w:rsidP="00FC274B">
            <w:pPr>
              <w:rPr>
                <w:b/>
                <w:bCs/>
                <w:sz w:val="20"/>
                <w:szCs w:val="20"/>
              </w:rPr>
            </w:pPr>
            <w:r>
              <w:rPr>
                <w:b/>
                <w:sz w:val="20"/>
              </w:rPr>
              <w:t>Net profit</w:t>
            </w:r>
          </w:p>
        </w:tc>
        <w:tc>
          <w:tcPr>
            <w:tcW w:w="737" w:type="dxa"/>
            <w:tcBorders>
              <w:top w:val="nil"/>
              <w:left w:val="nil"/>
              <w:bottom w:val="single" w:sz="4" w:space="0" w:color="auto"/>
              <w:right w:val="nil"/>
            </w:tcBorders>
            <w:shd w:val="clear" w:color="auto" w:fill="auto"/>
            <w:noWrap/>
            <w:vAlign w:val="bottom"/>
          </w:tcPr>
          <w:p w:rsidR="00FC274B" w:rsidRPr="00FC274B" w:rsidRDefault="00FC274B" w:rsidP="00FC274B">
            <w:pPr>
              <w:jc w:val="center"/>
              <w:rPr>
                <w:sz w:val="20"/>
                <w:szCs w:val="20"/>
              </w:rPr>
            </w:pPr>
            <w:r>
              <w:rPr>
                <w:sz w:val="20"/>
              </w:rPr>
              <w:t>32,103</w:t>
            </w:r>
          </w:p>
        </w:tc>
        <w:tc>
          <w:tcPr>
            <w:tcW w:w="691" w:type="dxa"/>
            <w:tcBorders>
              <w:top w:val="nil"/>
              <w:left w:val="nil"/>
              <w:bottom w:val="single" w:sz="4" w:space="0" w:color="auto"/>
              <w:right w:val="nil"/>
            </w:tcBorders>
            <w:shd w:val="clear" w:color="auto" w:fill="auto"/>
            <w:noWrap/>
            <w:vAlign w:val="bottom"/>
          </w:tcPr>
          <w:p w:rsidR="00FC274B" w:rsidRPr="00FC274B" w:rsidRDefault="00FC274B" w:rsidP="00FC274B">
            <w:pPr>
              <w:jc w:val="center"/>
              <w:rPr>
                <w:i/>
                <w:iCs/>
                <w:sz w:val="20"/>
                <w:szCs w:val="20"/>
              </w:rPr>
            </w:pPr>
            <w:r>
              <w:rPr>
                <w:i/>
                <w:sz w:val="20"/>
              </w:rPr>
              <w:t>19.0</w:t>
            </w:r>
          </w:p>
        </w:tc>
        <w:tc>
          <w:tcPr>
            <w:tcW w:w="851" w:type="dxa"/>
            <w:tcBorders>
              <w:top w:val="nil"/>
              <w:left w:val="nil"/>
              <w:bottom w:val="single" w:sz="4" w:space="0" w:color="auto"/>
              <w:right w:val="nil"/>
            </w:tcBorders>
            <w:shd w:val="clear" w:color="auto" w:fill="auto"/>
            <w:vAlign w:val="bottom"/>
          </w:tcPr>
          <w:p w:rsidR="00FC274B" w:rsidRPr="00FC274B" w:rsidRDefault="00FC274B" w:rsidP="00FC274B">
            <w:pPr>
              <w:jc w:val="center"/>
              <w:rPr>
                <w:sz w:val="20"/>
                <w:szCs w:val="20"/>
              </w:rPr>
            </w:pPr>
            <w:r>
              <w:rPr>
                <w:sz w:val="20"/>
              </w:rPr>
              <w:t>24,325</w:t>
            </w:r>
          </w:p>
        </w:tc>
        <w:tc>
          <w:tcPr>
            <w:tcW w:w="708" w:type="dxa"/>
            <w:tcBorders>
              <w:top w:val="nil"/>
              <w:left w:val="nil"/>
              <w:bottom w:val="single" w:sz="4" w:space="0" w:color="auto"/>
              <w:right w:val="nil"/>
            </w:tcBorders>
            <w:shd w:val="clear" w:color="auto" w:fill="auto"/>
            <w:vAlign w:val="bottom"/>
          </w:tcPr>
          <w:p w:rsidR="00FC274B" w:rsidRPr="00FC274B" w:rsidRDefault="00FC274B" w:rsidP="00FC274B">
            <w:pPr>
              <w:jc w:val="center"/>
              <w:rPr>
                <w:i/>
                <w:iCs/>
                <w:sz w:val="20"/>
                <w:szCs w:val="20"/>
              </w:rPr>
            </w:pPr>
            <w:r>
              <w:rPr>
                <w:i/>
                <w:sz w:val="20"/>
              </w:rPr>
              <w:t>16.3</w:t>
            </w:r>
          </w:p>
        </w:tc>
        <w:tc>
          <w:tcPr>
            <w:tcW w:w="726" w:type="dxa"/>
            <w:tcBorders>
              <w:top w:val="nil"/>
              <w:left w:val="nil"/>
              <w:bottom w:val="single" w:sz="4" w:space="0" w:color="auto"/>
              <w:right w:val="nil"/>
            </w:tcBorders>
            <w:shd w:val="clear" w:color="auto" w:fill="auto"/>
            <w:noWrap/>
            <w:vAlign w:val="bottom"/>
          </w:tcPr>
          <w:p w:rsidR="00FC274B" w:rsidRPr="00FC274B" w:rsidRDefault="00FC274B" w:rsidP="00FC274B">
            <w:pPr>
              <w:jc w:val="center"/>
              <w:rPr>
                <w:i/>
                <w:iCs/>
                <w:sz w:val="20"/>
                <w:szCs w:val="20"/>
              </w:rPr>
            </w:pPr>
            <w:r>
              <w:rPr>
                <w:i/>
                <w:sz w:val="20"/>
              </w:rPr>
              <w:t>32.0%</w:t>
            </w:r>
          </w:p>
        </w:tc>
        <w:tc>
          <w:tcPr>
            <w:tcW w:w="812" w:type="dxa"/>
            <w:tcBorders>
              <w:top w:val="nil"/>
              <w:left w:val="nil"/>
              <w:bottom w:val="single" w:sz="4" w:space="0" w:color="auto"/>
              <w:right w:val="nil"/>
            </w:tcBorders>
            <w:shd w:val="clear" w:color="auto" w:fill="auto"/>
            <w:noWrap/>
            <w:vAlign w:val="bottom"/>
          </w:tcPr>
          <w:p w:rsidR="00FC274B" w:rsidRPr="00FC274B" w:rsidRDefault="00FC274B" w:rsidP="00FC274B">
            <w:pPr>
              <w:jc w:val="center"/>
              <w:rPr>
                <w:sz w:val="20"/>
                <w:szCs w:val="20"/>
              </w:rPr>
            </w:pPr>
            <w:r>
              <w:rPr>
                <w:sz w:val="20"/>
              </w:rPr>
              <w:t>8,223</w:t>
            </w:r>
          </w:p>
        </w:tc>
        <w:tc>
          <w:tcPr>
            <w:tcW w:w="628" w:type="dxa"/>
            <w:tcBorders>
              <w:top w:val="nil"/>
              <w:left w:val="nil"/>
              <w:bottom w:val="single" w:sz="4" w:space="0" w:color="auto"/>
              <w:right w:val="nil"/>
            </w:tcBorders>
            <w:shd w:val="clear" w:color="auto" w:fill="auto"/>
            <w:vAlign w:val="bottom"/>
          </w:tcPr>
          <w:p w:rsidR="00FC274B" w:rsidRPr="00FC274B" w:rsidRDefault="00FC274B" w:rsidP="00FC274B">
            <w:pPr>
              <w:jc w:val="center"/>
              <w:rPr>
                <w:i/>
                <w:iCs/>
                <w:sz w:val="20"/>
                <w:szCs w:val="20"/>
              </w:rPr>
            </w:pPr>
            <w:r>
              <w:rPr>
                <w:i/>
                <w:sz w:val="20"/>
              </w:rPr>
              <w:t>16.0</w:t>
            </w:r>
          </w:p>
        </w:tc>
        <w:tc>
          <w:tcPr>
            <w:tcW w:w="828" w:type="dxa"/>
            <w:tcBorders>
              <w:top w:val="nil"/>
              <w:left w:val="nil"/>
              <w:bottom w:val="single" w:sz="4" w:space="0" w:color="auto"/>
              <w:right w:val="nil"/>
            </w:tcBorders>
            <w:shd w:val="clear" w:color="auto" w:fill="auto"/>
            <w:vAlign w:val="bottom"/>
          </w:tcPr>
          <w:p w:rsidR="00FC274B" w:rsidRPr="00FC274B" w:rsidRDefault="00FC274B" w:rsidP="00FC274B">
            <w:pPr>
              <w:jc w:val="center"/>
              <w:rPr>
                <w:sz w:val="20"/>
                <w:szCs w:val="20"/>
              </w:rPr>
            </w:pPr>
            <w:r>
              <w:rPr>
                <w:sz w:val="20"/>
              </w:rPr>
              <w:t>6,133</w:t>
            </w:r>
          </w:p>
        </w:tc>
        <w:tc>
          <w:tcPr>
            <w:tcW w:w="540" w:type="dxa"/>
            <w:tcBorders>
              <w:top w:val="nil"/>
              <w:left w:val="nil"/>
              <w:bottom w:val="single" w:sz="4" w:space="0" w:color="auto"/>
              <w:right w:val="nil"/>
            </w:tcBorders>
            <w:shd w:val="clear" w:color="auto" w:fill="auto"/>
            <w:vAlign w:val="bottom"/>
          </w:tcPr>
          <w:p w:rsidR="00FC274B" w:rsidRPr="00FC274B" w:rsidRDefault="00FC274B" w:rsidP="00FC274B">
            <w:pPr>
              <w:jc w:val="center"/>
              <w:rPr>
                <w:i/>
                <w:iCs/>
                <w:sz w:val="20"/>
                <w:szCs w:val="20"/>
              </w:rPr>
            </w:pPr>
            <w:r>
              <w:rPr>
                <w:i/>
                <w:sz w:val="20"/>
              </w:rPr>
              <w:t>13.7</w:t>
            </w:r>
          </w:p>
        </w:tc>
        <w:tc>
          <w:tcPr>
            <w:tcW w:w="708" w:type="dxa"/>
            <w:tcBorders>
              <w:top w:val="nil"/>
              <w:left w:val="nil"/>
              <w:bottom w:val="single" w:sz="4" w:space="0" w:color="auto"/>
              <w:right w:val="nil"/>
            </w:tcBorders>
            <w:shd w:val="clear" w:color="auto" w:fill="auto"/>
            <w:noWrap/>
            <w:vAlign w:val="bottom"/>
          </w:tcPr>
          <w:p w:rsidR="00FC274B" w:rsidRPr="00FC274B" w:rsidRDefault="00FC274B" w:rsidP="00FC274B">
            <w:pPr>
              <w:jc w:val="center"/>
              <w:rPr>
                <w:i/>
                <w:iCs/>
                <w:sz w:val="20"/>
                <w:szCs w:val="20"/>
              </w:rPr>
            </w:pPr>
            <w:r>
              <w:rPr>
                <w:i/>
                <w:sz w:val="20"/>
              </w:rPr>
              <w:t>34.1%</w:t>
            </w:r>
          </w:p>
        </w:tc>
      </w:tr>
      <w:tr w:rsidR="00FC274B" w:rsidTr="00C44A2C">
        <w:trPr>
          <w:trHeight w:val="255"/>
          <w:jc w:val="center"/>
        </w:trPr>
        <w:tc>
          <w:tcPr>
            <w:tcW w:w="2694" w:type="dxa"/>
            <w:tcBorders>
              <w:top w:val="single" w:sz="4" w:space="0" w:color="auto"/>
              <w:left w:val="nil"/>
              <w:bottom w:val="nil"/>
              <w:right w:val="nil"/>
            </w:tcBorders>
            <w:noWrap/>
            <w:vAlign w:val="bottom"/>
          </w:tcPr>
          <w:p w:rsidR="00FC274B" w:rsidRDefault="00FC274B" w:rsidP="00FC274B">
            <w:pPr>
              <w:rPr>
                <w:b/>
                <w:bCs/>
                <w:sz w:val="20"/>
                <w:szCs w:val="20"/>
              </w:rPr>
            </w:pPr>
          </w:p>
        </w:tc>
        <w:tc>
          <w:tcPr>
            <w:tcW w:w="737" w:type="dxa"/>
            <w:tcBorders>
              <w:top w:val="single" w:sz="4" w:space="0" w:color="auto"/>
              <w:left w:val="nil"/>
              <w:bottom w:val="nil"/>
              <w:right w:val="nil"/>
            </w:tcBorders>
            <w:noWrap/>
            <w:vAlign w:val="bottom"/>
          </w:tcPr>
          <w:p w:rsidR="00FC274B" w:rsidRPr="00FC274B" w:rsidRDefault="00FC274B" w:rsidP="00FC274B">
            <w:pPr>
              <w:jc w:val="center"/>
              <w:rPr>
                <w:i/>
                <w:iCs/>
                <w:sz w:val="20"/>
                <w:szCs w:val="20"/>
              </w:rPr>
            </w:pPr>
          </w:p>
        </w:tc>
        <w:tc>
          <w:tcPr>
            <w:tcW w:w="691" w:type="dxa"/>
            <w:tcBorders>
              <w:top w:val="single" w:sz="4" w:space="0" w:color="auto"/>
              <w:left w:val="nil"/>
              <w:bottom w:val="nil"/>
              <w:right w:val="nil"/>
            </w:tcBorders>
            <w:noWrap/>
            <w:vAlign w:val="bottom"/>
          </w:tcPr>
          <w:p w:rsidR="00FC274B" w:rsidRPr="00FC274B" w:rsidRDefault="00FC274B" w:rsidP="00FC274B">
            <w:pPr>
              <w:rPr>
                <w:sz w:val="20"/>
                <w:szCs w:val="20"/>
              </w:rPr>
            </w:pPr>
          </w:p>
        </w:tc>
        <w:tc>
          <w:tcPr>
            <w:tcW w:w="851" w:type="dxa"/>
            <w:tcBorders>
              <w:top w:val="single" w:sz="4" w:space="0" w:color="auto"/>
              <w:left w:val="nil"/>
              <w:bottom w:val="nil"/>
              <w:right w:val="nil"/>
            </w:tcBorders>
            <w:vAlign w:val="bottom"/>
          </w:tcPr>
          <w:p w:rsidR="00FC274B" w:rsidRPr="00FC274B" w:rsidRDefault="00FC274B" w:rsidP="00FC274B">
            <w:pPr>
              <w:rPr>
                <w:sz w:val="20"/>
                <w:szCs w:val="20"/>
              </w:rPr>
            </w:pPr>
          </w:p>
        </w:tc>
        <w:tc>
          <w:tcPr>
            <w:tcW w:w="708" w:type="dxa"/>
            <w:tcBorders>
              <w:top w:val="single" w:sz="4" w:space="0" w:color="auto"/>
              <w:left w:val="nil"/>
              <w:bottom w:val="nil"/>
              <w:right w:val="nil"/>
            </w:tcBorders>
            <w:vAlign w:val="bottom"/>
          </w:tcPr>
          <w:p w:rsidR="00FC274B" w:rsidRPr="00FC274B" w:rsidRDefault="00FC274B" w:rsidP="00FC274B">
            <w:pPr>
              <w:rPr>
                <w:sz w:val="20"/>
                <w:szCs w:val="20"/>
              </w:rPr>
            </w:pPr>
          </w:p>
        </w:tc>
        <w:tc>
          <w:tcPr>
            <w:tcW w:w="726" w:type="dxa"/>
            <w:tcBorders>
              <w:top w:val="single" w:sz="4" w:space="0" w:color="auto"/>
              <w:left w:val="nil"/>
              <w:bottom w:val="nil"/>
              <w:right w:val="nil"/>
            </w:tcBorders>
            <w:noWrap/>
            <w:vAlign w:val="bottom"/>
          </w:tcPr>
          <w:p w:rsidR="00FC274B" w:rsidRPr="00FC274B" w:rsidRDefault="00FC274B" w:rsidP="00FC274B">
            <w:pPr>
              <w:rPr>
                <w:sz w:val="20"/>
                <w:szCs w:val="20"/>
              </w:rPr>
            </w:pPr>
          </w:p>
        </w:tc>
        <w:tc>
          <w:tcPr>
            <w:tcW w:w="812" w:type="dxa"/>
            <w:tcBorders>
              <w:top w:val="single" w:sz="4" w:space="0" w:color="auto"/>
              <w:left w:val="nil"/>
              <w:bottom w:val="nil"/>
              <w:right w:val="nil"/>
            </w:tcBorders>
            <w:noWrap/>
            <w:vAlign w:val="bottom"/>
          </w:tcPr>
          <w:p w:rsidR="00FC274B" w:rsidRDefault="00FC274B" w:rsidP="00FC274B">
            <w:pPr>
              <w:jc w:val="center"/>
              <w:rPr>
                <w:sz w:val="20"/>
                <w:szCs w:val="20"/>
              </w:rPr>
            </w:pPr>
          </w:p>
        </w:tc>
        <w:tc>
          <w:tcPr>
            <w:tcW w:w="628" w:type="dxa"/>
            <w:tcBorders>
              <w:top w:val="single" w:sz="4" w:space="0" w:color="auto"/>
              <w:left w:val="nil"/>
              <w:bottom w:val="nil"/>
              <w:right w:val="nil"/>
            </w:tcBorders>
            <w:vAlign w:val="bottom"/>
          </w:tcPr>
          <w:p w:rsidR="00FC274B" w:rsidRDefault="00FC274B" w:rsidP="00FC274B">
            <w:pPr>
              <w:jc w:val="center"/>
              <w:rPr>
                <w:sz w:val="20"/>
                <w:szCs w:val="20"/>
              </w:rPr>
            </w:pPr>
          </w:p>
        </w:tc>
        <w:tc>
          <w:tcPr>
            <w:tcW w:w="828" w:type="dxa"/>
            <w:tcBorders>
              <w:top w:val="single" w:sz="4" w:space="0" w:color="auto"/>
              <w:left w:val="nil"/>
              <w:bottom w:val="nil"/>
              <w:right w:val="nil"/>
            </w:tcBorders>
            <w:vAlign w:val="bottom"/>
          </w:tcPr>
          <w:p w:rsidR="00FC274B" w:rsidRDefault="00FC274B" w:rsidP="00FC274B">
            <w:pPr>
              <w:jc w:val="center"/>
              <w:rPr>
                <w:sz w:val="20"/>
                <w:szCs w:val="20"/>
              </w:rPr>
            </w:pPr>
          </w:p>
        </w:tc>
        <w:tc>
          <w:tcPr>
            <w:tcW w:w="540" w:type="dxa"/>
            <w:tcBorders>
              <w:top w:val="single" w:sz="4" w:space="0" w:color="auto"/>
              <w:left w:val="nil"/>
              <w:bottom w:val="nil"/>
              <w:right w:val="nil"/>
            </w:tcBorders>
            <w:vAlign w:val="bottom"/>
          </w:tcPr>
          <w:p w:rsidR="00FC274B" w:rsidRDefault="00FC274B" w:rsidP="00FC274B">
            <w:pPr>
              <w:jc w:val="center"/>
              <w:rPr>
                <w:sz w:val="20"/>
                <w:szCs w:val="20"/>
              </w:rPr>
            </w:pPr>
          </w:p>
        </w:tc>
        <w:tc>
          <w:tcPr>
            <w:tcW w:w="708" w:type="dxa"/>
            <w:tcBorders>
              <w:top w:val="single" w:sz="4" w:space="0" w:color="auto"/>
              <w:left w:val="nil"/>
              <w:bottom w:val="nil"/>
              <w:right w:val="nil"/>
            </w:tcBorders>
            <w:noWrap/>
            <w:vAlign w:val="bottom"/>
          </w:tcPr>
          <w:p w:rsidR="00FC274B" w:rsidRPr="00B359FD" w:rsidRDefault="00FC274B" w:rsidP="00FC274B">
            <w:pPr>
              <w:jc w:val="center"/>
              <w:rPr>
                <w:i/>
                <w:sz w:val="20"/>
                <w:szCs w:val="20"/>
              </w:rPr>
            </w:pPr>
          </w:p>
        </w:tc>
      </w:tr>
      <w:tr w:rsidR="00FC274B" w:rsidTr="00C44A2C">
        <w:trPr>
          <w:trHeight w:val="255"/>
          <w:jc w:val="center"/>
        </w:trPr>
        <w:tc>
          <w:tcPr>
            <w:tcW w:w="2694" w:type="dxa"/>
            <w:tcBorders>
              <w:top w:val="nil"/>
              <w:left w:val="nil"/>
              <w:bottom w:val="single" w:sz="4" w:space="0" w:color="auto"/>
              <w:right w:val="nil"/>
            </w:tcBorders>
            <w:noWrap/>
            <w:vAlign w:val="bottom"/>
          </w:tcPr>
          <w:p w:rsidR="00FC274B" w:rsidRDefault="00FC274B" w:rsidP="00FC274B">
            <w:pPr>
              <w:rPr>
                <w:b/>
                <w:bCs/>
                <w:sz w:val="20"/>
                <w:szCs w:val="20"/>
              </w:rPr>
            </w:pPr>
            <w:r>
              <w:rPr>
                <w:b/>
                <w:sz w:val="20"/>
              </w:rPr>
              <w:t>Net financial position</w:t>
            </w:r>
          </w:p>
        </w:tc>
        <w:tc>
          <w:tcPr>
            <w:tcW w:w="737" w:type="dxa"/>
            <w:tcBorders>
              <w:top w:val="nil"/>
              <w:left w:val="nil"/>
              <w:bottom w:val="single" w:sz="4" w:space="0" w:color="auto"/>
              <w:right w:val="nil"/>
            </w:tcBorders>
            <w:noWrap/>
            <w:vAlign w:val="bottom"/>
          </w:tcPr>
          <w:p w:rsidR="00FC274B" w:rsidRPr="00FC274B" w:rsidRDefault="00FC274B" w:rsidP="00FC274B">
            <w:pPr>
              <w:jc w:val="center"/>
              <w:rPr>
                <w:sz w:val="20"/>
                <w:szCs w:val="20"/>
              </w:rPr>
            </w:pPr>
            <w:r>
              <w:rPr>
                <w:sz w:val="20"/>
              </w:rPr>
              <w:t xml:space="preserve">9,323 </w:t>
            </w:r>
          </w:p>
        </w:tc>
        <w:tc>
          <w:tcPr>
            <w:tcW w:w="691" w:type="dxa"/>
            <w:tcBorders>
              <w:top w:val="nil"/>
              <w:left w:val="nil"/>
              <w:bottom w:val="single" w:sz="4" w:space="0" w:color="auto"/>
              <w:right w:val="nil"/>
            </w:tcBorders>
            <w:noWrap/>
            <w:vAlign w:val="bottom"/>
          </w:tcPr>
          <w:p w:rsidR="00FC274B" w:rsidRPr="00FC274B" w:rsidRDefault="00FC274B" w:rsidP="00FC274B">
            <w:pPr>
              <w:jc w:val="center"/>
              <w:rPr>
                <w:i/>
                <w:iCs/>
                <w:sz w:val="20"/>
                <w:szCs w:val="20"/>
              </w:rPr>
            </w:pPr>
            <w:r>
              <w:rPr>
                <w:i/>
                <w:sz w:val="20"/>
              </w:rPr>
              <w:t> </w:t>
            </w:r>
          </w:p>
        </w:tc>
        <w:tc>
          <w:tcPr>
            <w:tcW w:w="851" w:type="dxa"/>
            <w:tcBorders>
              <w:top w:val="nil"/>
              <w:left w:val="nil"/>
              <w:bottom w:val="single" w:sz="4" w:space="0" w:color="auto"/>
              <w:right w:val="nil"/>
            </w:tcBorders>
            <w:vAlign w:val="bottom"/>
          </w:tcPr>
          <w:p w:rsidR="00FC274B" w:rsidRPr="00FC274B" w:rsidRDefault="00FC274B" w:rsidP="00FC274B">
            <w:pPr>
              <w:jc w:val="center"/>
              <w:rPr>
                <w:sz w:val="20"/>
                <w:szCs w:val="20"/>
              </w:rPr>
            </w:pPr>
            <w:r>
              <w:rPr>
                <w:sz w:val="20"/>
              </w:rPr>
              <w:t xml:space="preserve">11,013 </w:t>
            </w:r>
          </w:p>
        </w:tc>
        <w:tc>
          <w:tcPr>
            <w:tcW w:w="708" w:type="dxa"/>
            <w:tcBorders>
              <w:top w:val="nil"/>
              <w:left w:val="nil"/>
              <w:bottom w:val="single" w:sz="4" w:space="0" w:color="auto"/>
              <w:right w:val="nil"/>
            </w:tcBorders>
            <w:vAlign w:val="bottom"/>
          </w:tcPr>
          <w:p w:rsidR="00FC274B" w:rsidRPr="00FC274B" w:rsidRDefault="00FC274B" w:rsidP="00FC274B">
            <w:pPr>
              <w:jc w:val="center"/>
              <w:rPr>
                <w:i/>
                <w:iCs/>
                <w:sz w:val="20"/>
                <w:szCs w:val="20"/>
              </w:rPr>
            </w:pPr>
            <w:r>
              <w:rPr>
                <w:i/>
                <w:sz w:val="20"/>
              </w:rPr>
              <w:t> </w:t>
            </w:r>
          </w:p>
        </w:tc>
        <w:tc>
          <w:tcPr>
            <w:tcW w:w="726" w:type="dxa"/>
            <w:tcBorders>
              <w:top w:val="nil"/>
              <w:left w:val="nil"/>
              <w:bottom w:val="single" w:sz="4" w:space="0" w:color="auto"/>
              <w:right w:val="nil"/>
            </w:tcBorders>
            <w:noWrap/>
            <w:vAlign w:val="bottom"/>
          </w:tcPr>
          <w:p w:rsidR="00FC274B" w:rsidRPr="00FC274B" w:rsidRDefault="00FC274B" w:rsidP="00FC274B">
            <w:pPr>
              <w:jc w:val="center"/>
              <w:rPr>
                <w:i/>
                <w:iCs/>
                <w:sz w:val="20"/>
                <w:szCs w:val="20"/>
              </w:rPr>
            </w:pPr>
            <w:r>
              <w:rPr>
                <w:i/>
                <w:sz w:val="20"/>
              </w:rPr>
              <w:t> </w:t>
            </w:r>
          </w:p>
        </w:tc>
        <w:tc>
          <w:tcPr>
            <w:tcW w:w="812" w:type="dxa"/>
            <w:tcBorders>
              <w:top w:val="nil"/>
              <w:left w:val="nil"/>
              <w:bottom w:val="single" w:sz="4" w:space="0" w:color="auto"/>
              <w:right w:val="nil"/>
            </w:tcBorders>
            <w:noWrap/>
            <w:vAlign w:val="bottom"/>
          </w:tcPr>
          <w:p w:rsidR="00FC274B" w:rsidRDefault="00FC274B" w:rsidP="00FC274B">
            <w:pPr>
              <w:jc w:val="center"/>
              <w:rPr>
                <w:sz w:val="20"/>
                <w:szCs w:val="20"/>
              </w:rPr>
            </w:pPr>
          </w:p>
        </w:tc>
        <w:tc>
          <w:tcPr>
            <w:tcW w:w="628" w:type="dxa"/>
            <w:tcBorders>
              <w:top w:val="nil"/>
              <w:left w:val="nil"/>
              <w:bottom w:val="single" w:sz="4" w:space="0" w:color="auto"/>
              <w:right w:val="nil"/>
            </w:tcBorders>
            <w:vAlign w:val="bottom"/>
          </w:tcPr>
          <w:p w:rsidR="00FC274B" w:rsidRDefault="00FC274B" w:rsidP="00FC274B">
            <w:pPr>
              <w:jc w:val="center"/>
              <w:rPr>
                <w:sz w:val="20"/>
                <w:szCs w:val="20"/>
              </w:rPr>
            </w:pPr>
          </w:p>
        </w:tc>
        <w:tc>
          <w:tcPr>
            <w:tcW w:w="828" w:type="dxa"/>
            <w:tcBorders>
              <w:top w:val="nil"/>
              <w:left w:val="nil"/>
              <w:bottom w:val="single" w:sz="4" w:space="0" w:color="auto"/>
              <w:right w:val="nil"/>
            </w:tcBorders>
            <w:vAlign w:val="bottom"/>
          </w:tcPr>
          <w:p w:rsidR="00FC274B" w:rsidRDefault="00FC274B" w:rsidP="00FC274B">
            <w:pPr>
              <w:jc w:val="center"/>
              <w:rPr>
                <w:sz w:val="20"/>
                <w:szCs w:val="20"/>
              </w:rPr>
            </w:pPr>
          </w:p>
        </w:tc>
        <w:tc>
          <w:tcPr>
            <w:tcW w:w="540" w:type="dxa"/>
            <w:tcBorders>
              <w:top w:val="nil"/>
              <w:left w:val="nil"/>
              <w:bottom w:val="single" w:sz="4" w:space="0" w:color="auto"/>
              <w:right w:val="nil"/>
            </w:tcBorders>
            <w:vAlign w:val="bottom"/>
          </w:tcPr>
          <w:p w:rsidR="00FC274B" w:rsidRDefault="00FC274B" w:rsidP="00FC274B">
            <w:pPr>
              <w:jc w:val="center"/>
              <w:rPr>
                <w:sz w:val="20"/>
                <w:szCs w:val="20"/>
              </w:rPr>
            </w:pPr>
          </w:p>
        </w:tc>
        <w:tc>
          <w:tcPr>
            <w:tcW w:w="708" w:type="dxa"/>
            <w:tcBorders>
              <w:top w:val="nil"/>
              <w:left w:val="nil"/>
              <w:bottom w:val="single" w:sz="4" w:space="0" w:color="auto"/>
              <w:right w:val="nil"/>
            </w:tcBorders>
            <w:noWrap/>
            <w:vAlign w:val="bottom"/>
          </w:tcPr>
          <w:p w:rsidR="00FC274B" w:rsidRPr="00B359FD" w:rsidRDefault="00FC274B" w:rsidP="00FC274B">
            <w:pPr>
              <w:jc w:val="center"/>
              <w:rPr>
                <w:i/>
                <w:sz w:val="20"/>
                <w:szCs w:val="20"/>
              </w:rPr>
            </w:pPr>
          </w:p>
        </w:tc>
      </w:tr>
    </w:tbl>
    <w:p w:rsidR="00B04C31" w:rsidRPr="007E78BE" w:rsidRDefault="00B04C31" w:rsidP="00B04C31">
      <w:pPr>
        <w:pStyle w:val="Corpotesto"/>
      </w:pPr>
    </w:p>
    <w:p w:rsidR="00B04C31" w:rsidRDefault="00F353A1" w:rsidP="00B04C31">
      <w:pPr>
        <w:jc w:val="both"/>
      </w:pPr>
      <w:r>
        <w:rPr>
          <w:i/>
          <w:iCs/>
        </w:rPr>
        <w:lastRenderedPageBreak/>
        <w:t>Brescia, November 14, 2023</w:t>
      </w:r>
      <w:r>
        <w:t xml:space="preserve"> - The Board of Directors of Cembre S.p.A., company listed on the Star segment of the Italian Stock Exchange, one of the largest European manufacturers of electrical connectors and tools for their installation – chaired by its Chairman and Managing Director Giovanni Rosani, met today in Brescia, and approved the interim report on operations as at September 30, 2023.</w:t>
      </w:r>
    </w:p>
    <w:p w:rsidR="00B04C31" w:rsidRPr="007E78BE" w:rsidRDefault="00B04C31" w:rsidP="00B04C31">
      <w:pPr>
        <w:jc w:val="both"/>
      </w:pPr>
    </w:p>
    <w:p w:rsidR="00B04C31" w:rsidRPr="007E78BE" w:rsidRDefault="00F73D6C" w:rsidP="00B04C31">
      <w:pPr>
        <w:jc w:val="both"/>
      </w:pPr>
      <w:r>
        <w:t xml:space="preserve">In the first nine months of 2023, the Group reported </w:t>
      </w:r>
      <w:r>
        <w:rPr>
          <w:b/>
          <w:u w:val="single"/>
        </w:rPr>
        <w:t>consolidated revenues from sales</w:t>
      </w:r>
      <w:r>
        <w:t xml:space="preserve"> of €169.0 million, up 13.5% from €149.0 million in the first nine months of 2022.</w:t>
      </w:r>
    </w:p>
    <w:p w:rsidR="00B04C31" w:rsidRDefault="00B04C31" w:rsidP="00B04C31">
      <w:pPr>
        <w:pStyle w:val="Corpotesto"/>
      </w:pPr>
      <w:r>
        <w:t>Domestic sales of the Group amounted to €74.0 million, up by 14.9%, while sales outside Italy amounted to €95.1 million, up 12.4%. In the first nine months of the year, a total of 43.8% of Group sales were represented by Italy (as compared with 43.2% in the first nine months of 2022), 46.0% by the rest of Europe (46.6% in the first nine months of 2022), and the remaining 10.2% by the rest of the World (10.2% in the first nine months of 2022).</w:t>
      </w:r>
    </w:p>
    <w:p w:rsidR="00B04C31" w:rsidRPr="007E78BE" w:rsidRDefault="00B04C31" w:rsidP="00B04C31">
      <w:pPr>
        <w:pStyle w:val="Corpotesto"/>
      </w:pPr>
    </w:p>
    <w:p w:rsidR="00B04C31" w:rsidRPr="007E78BE" w:rsidRDefault="00B04C31" w:rsidP="00B04C31">
      <w:pPr>
        <w:pStyle w:val="Normale1"/>
        <w:jc w:val="both"/>
        <w:rPr>
          <w:color w:val="auto"/>
        </w:rPr>
      </w:pPr>
      <w:r>
        <w:rPr>
          <w:b/>
          <w:color w:val="auto"/>
          <w:u w:val="single"/>
        </w:rPr>
        <w:t>Consolidated gross operating profit (EBITDA)</w:t>
      </w:r>
      <w:r>
        <w:rPr>
          <w:color w:val="auto"/>
        </w:rPr>
        <w:t xml:space="preserve"> for the first nine months of 2023 amounted to €52.7 million, representing a 31.2% margin on sales, up 26.3% on the first nine months of 2022 when it amounted to €41.7 million, representing a 28.0% margin on sales. </w:t>
      </w:r>
    </w:p>
    <w:p w:rsidR="00B04C31" w:rsidRPr="009A2CB6" w:rsidRDefault="009A2CB6" w:rsidP="00B04C31">
      <w:pPr>
        <w:pStyle w:val="Normale1"/>
        <w:jc w:val="both"/>
        <w:rPr>
          <w:rFonts w:ascii="Times" w:hAnsi="Times"/>
          <w:color w:val="auto"/>
        </w:rPr>
      </w:pPr>
      <w:r>
        <w:rPr>
          <w:color w:val="auto"/>
        </w:rPr>
        <w:t>The incidence of the cost of goods sold declined during the period, while the weight of the cost for services rose slightly during the period, especially following the increase in the costs of energy, travelling expenses and maintenance costs.</w:t>
      </w:r>
    </w:p>
    <w:p w:rsidR="00714305" w:rsidRPr="00714305" w:rsidRDefault="009A2CB6" w:rsidP="00B04C31">
      <w:pPr>
        <w:pStyle w:val="Normale1"/>
        <w:jc w:val="both"/>
        <w:rPr>
          <w:rFonts w:ascii="Times" w:hAnsi="Times"/>
          <w:color w:val="auto"/>
        </w:rPr>
      </w:pPr>
      <w:r>
        <w:rPr>
          <w:color w:val="auto"/>
        </w:rPr>
        <w:t>Personnel costs in absolute terms in the first nine months of 2023 increased by 10.7% compared to the same period of the previous year, mainly as a result of the increase in the average number of Group workers from 818 in the first nine months of 2022 to 865 in the first nine months of 2023. However, despite this increase in absolute value, personnel costs as a percentage of turnover decreased from 25.4% to 24.7%.</w:t>
      </w:r>
    </w:p>
    <w:p w:rsidR="00B04C31" w:rsidRPr="007E78BE" w:rsidRDefault="00B04C31" w:rsidP="00B04C31">
      <w:pPr>
        <w:pStyle w:val="Normale1"/>
        <w:jc w:val="both"/>
        <w:rPr>
          <w:color w:val="auto"/>
        </w:rPr>
      </w:pPr>
    </w:p>
    <w:p w:rsidR="00B04C31" w:rsidRPr="00F43BAC" w:rsidRDefault="00B04C31" w:rsidP="00B04C31">
      <w:pPr>
        <w:pStyle w:val="Normale1"/>
        <w:jc w:val="both"/>
        <w:rPr>
          <w:color w:val="auto"/>
        </w:rPr>
      </w:pPr>
      <w:r>
        <w:rPr>
          <w:b/>
          <w:color w:val="auto"/>
          <w:u w:val="single"/>
        </w:rPr>
        <w:t>Consolidated operating profit (EBIT)</w:t>
      </w:r>
      <w:r>
        <w:rPr>
          <w:color w:val="auto"/>
        </w:rPr>
        <w:t xml:space="preserve"> for first nine months of 2023 amounted to €43.3 million, representing a 25.6% margin on sales, up 31.8% on €32.8 million in the first nine months of last year, when it represented a 22.0% margin on sales.</w:t>
      </w:r>
    </w:p>
    <w:p w:rsidR="00B04C31" w:rsidRPr="007E78BE" w:rsidRDefault="00B04C31" w:rsidP="00B04C31">
      <w:pPr>
        <w:pStyle w:val="Corpotesto"/>
      </w:pPr>
    </w:p>
    <w:p w:rsidR="00B04C31" w:rsidRPr="007E78BE" w:rsidRDefault="00B04C31" w:rsidP="00B04C31">
      <w:pPr>
        <w:jc w:val="both"/>
      </w:pPr>
      <w:r>
        <w:rPr>
          <w:b/>
          <w:u w:val="single"/>
        </w:rPr>
        <w:t>Consolidated profit before taxes</w:t>
      </w:r>
      <w:r>
        <w:t xml:space="preserve"> amounted to €43.1 million, representing a 25.5% margin on sales, up by 31.0% on €32.9 million in the first nine months of 2022, when it represented a 22.1% margin on sales.</w:t>
      </w:r>
    </w:p>
    <w:p w:rsidR="00B04C31" w:rsidRPr="007E78BE" w:rsidRDefault="00B04C31" w:rsidP="00B04C31">
      <w:pPr>
        <w:pStyle w:val="Corpotesto"/>
      </w:pPr>
    </w:p>
    <w:p w:rsidR="00DE2584" w:rsidRDefault="00B04C31" w:rsidP="00B04C31">
      <w:pPr>
        <w:jc w:val="both"/>
      </w:pPr>
      <w:r>
        <w:rPr>
          <w:b/>
          <w:u w:val="single"/>
        </w:rPr>
        <w:t>Net income for the period</w:t>
      </w:r>
      <w:r>
        <w:t xml:space="preserve"> reached €32.1 million, up by 32.0% from €24.3 million in the same period of last year. The percentage incidence of net profit on turnover therefore represents 19.0%, up compared to the same period of 2022, when it amounted to 16.3%.</w:t>
      </w:r>
    </w:p>
    <w:p w:rsidR="00DE2584" w:rsidRDefault="00DE2584" w:rsidP="00B04C31">
      <w:pPr>
        <w:jc w:val="both"/>
      </w:pPr>
    </w:p>
    <w:p w:rsidR="00B04C31" w:rsidRDefault="00B04C31" w:rsidP="00B04C31">
      <w:pPr>
        <w:pStyle w:val="Normale1"/>
        <w:jc w:val="both"/>
        <w:rPr>
          <w:color w:val="auto"/>
        </w:rPr>
      </w:pPr>
      <w:r>
        <w:rPr>
          <w:color w:val="auto"/>
        </w:rPr>
        <w:t xml:space="preserve">The </w:t>
      </w:r>
      <w:r>
        <w:rPr>
          <w:b/>
          <w:color w:val="auto"/>
          <w:u w:val="single"/>
        </w:rPr>
        <w:t>consolidated net financial position</w:t>
      </w:r>
      <w:r>
        <w:rPr>
          <w:color w:val="auto"/>
        </w:rPr>
        <w:t xml:space="preserve"> went from a surplus of €14.6 million as at December 31, 2022 to a surplus of €9.3 million as at September 30, 2023, reflecting the effects of the payment of dividends of €23.5 million by the Parent Company and capital expenditure amounting to €10.9 million. At September 30, 2022, the net financial position was equal to a surplus of €11.0 million.</w:t>
      </w:r>
    </w:p>
    <w:p w:rsidR="00B04C31" w:rsidRPr="007604B6" w:rsidRDefault="00B04C31" w:rsidP="00B04C31">
      <w:pPr>
        <w:pStyle w:val="Normale1"/>
        <w:jc w:val="both"/>
        <w:rPr>
          <w:color w:val="auto"/>
        </w:rPr>
      </w:pPr>
    </w:p>
    <w:p w:rsidR="00B04C31" w:rsidRDefault="00B04C31" w:rsidP="00B04C31">
      <w:pPr>
        <w:pStyle w:val="Corpotesto"/>
      </w:pPr>
      <w:r>
        <w:t xml:space="preserve">As mentioned previously, </w:t>
      </w:r>
      <w:r>
        <w:rPr>
          <w:b/>
          <w:u w:val="single"/>
        </w:rPr>
        <w:t>capital expenditure</w:t>
      </w:r>
      <w:r>
        <w:t xml:space="preserve"> in the period amounted to €10.9 million and consisted primarily of investments in plant and equipment. In the same period of 2022 they amounted to €8.3 million.</w:t>
      </w:r>
    </w:p>
    <w:p w:rsidR="001C7C82" w:rsidRDefault="001C7C82" w:rsidP="00B04C31">
      <w:pPr>
        <w:pStyle w:val="Corpotesto"/>
      </w:pPr>
    </w:p>
    <w:p w:rsidR="00E728FD" w:rsidRPr="007515BF" w:rsidRDefault="00E728FD" w:rsidP="00E728FD">
      <w:pPr>
        <w:pStyle w:val="Normale1"/>
        <w:jc w:val="both"/>
        <w:rPr>
          <w:rFonts w:ascii="Times New Roman" w:eastAsia="Calibri" w:hAnsi="Times New Roman"/>
          <w:i/>
          <w:iCs/>
          <w:color w:val="auto"/>
          <w:highlight w:val="yellow"/>
        </w:rPr>
      </w:pPr>
      <w:r>
        <w:rPr>
          <w:rFonts w:ascii="Times New Roman" w:hAnsi="Times New Roman"/>
          <w:i/>
          <w:color w:val="auto"/>
        </w:rPr>
        <w:lastRenderedPageBreak/>
        <w:t xml:space="preserve">"The Cembre Group's consolidated revenues in the first </w:t>
      </w:r>
      <w:r w:rsidR="00C44A2C">
        <w:rPr>
          <w:rFonts w:ascii="Times New Roman" w:hAnsi="Times New Roman"/>
          <w:i/>
          <w:color w:val="auto"/>
        </w:rPr>
        <w:t>nine months</w:t>
      </w:r>
      <w:r>
        <w:rPr>
          <w:rFonts w:ascii="Times New Roman" w:hAnsi="Times New Roman"/>
          <w:i/>
          <w:color w:val="auto"/>
        </w:rPr>
        <w:t xml:space="preserve"> of 2023 amounted to €169 million, up 13.5% compared to the same period of the previous year. The month of October also had a positive trend, and the Group's progressive sales in the first ten months of 2023 marked </w:t>
      </w:r>
      <w:r w:rsidRPr="00C44A2C">
        <w:rPr>
          <w:rFonts w:ascii="Times New Roman" w:hAnsi="Times New Roman"/>
          <w:i/>
          <w:color w:val="auto"/>
        </w:rPr>
        <w:t>growth of 1</w:t>
      </w:r>
      <w:r w:rsidR="00C44A2C" w:rsidRPr="00C44A2C">
        <w:rPr>
          <w:rFonts w:ascii="Times New Roman" w:hAnsi="Times New Roman"/>
          <w:i/>
          <w:color w:val="auto"/>
        </w:rPr>
        <w:t>2.9</w:t>
      </w:r>
      <w:r w:rsidRPr="00C44A2C">
        <w:rPr>
          <w:rFonts w:ascii="Times New Roman" w:hAnsi="Times New Roman"/>
          <w:i/>
          <w:color w:val="auto"/>
        </w:rPr>
        <w:t>% compared to the first ten months of 2022</w:t>
      </w:r>
      <w:r>
        <w:rPr>
          <w:rFonts w:ascii="Times New Roman" w:hAnsi="Times New Roman"/>
          <w:i/>
          <w:color w:val="auto"/>
        </w:rPr>
        <w:t>; in addition, the net financial position as at October 31, 2023 was a surplus of €16.3 million</w:t>
      </w:r>
      <w:r>
        <w:rPr>
          <w:i/>
          <w:color w:val="auto"/>
        </w:rPr>
        <w:t>."</w:t>
      </w:r>
      <w:r>
        <w:rPr>
          <w:rFonts w:ascii="Times New Roman" w:hAnsi="Times New Roman"/>
          <w:i/>
          <w:color w:val="auto"/>
        </w:rPr>
        <w:t>-</w:t>
      </w:r>
      <w:r>
        <w:rPr>
          <w:rFonts w:ascii="Times New Roman" w:hAnsi="Times New Roman"/>
          <w:color w:val="auto"/>
        </w:rPr>
        <w:t xml:space="preserve"> commented Chair Giovanni Rosani.</w:t>
      </w:r>
    </w:p>
    <w:p w:rsidR="00B04C31" w:rsidRPr="002019C8" w:rsidRDefault="00B04C31" w:rsidP="00B04C31">
      <w:pPr>
        <w:pStyle w:val="Normale11"/>
        <w:jc w:val="both"/>
        <w:rPr>
          <w:rFonts w:ascii="Times New Roman" w:hAnsi="Times New Roman"/>
          <w:color w:val="auto"/>
        </w:rPr>
      </w:pPr>
    </w:p>
    <w:p w:rsidR="00B04C31" w:rsidRPr="007E78BE" w:rsidRDefault="00B04C31" w:rsidP="00B04C31">
      <w:pPr>
        <w:jc w:val="center"/>
        <w:rPr>
          <w:i/>
        </w:rPr>
      </w:pPr>
      <w:r>
        <w:rPr>
          <w:i/>
        </w:rPr>
        <w:t>* * * *</w:t>
      </w:r>
    </w:p>
    <w:p w:rsidR="00B04C31" w:rsidRPr="009D0D89" w:rsidRDefault="00B04C31" w:rsidP="00B04C31">
      <w:pPr>
        <w:pStyle w:val="Corpodeltesto2"/>
      </w:pPr>
      <w:r>
        <w:t>Cembre designs, manufactures and distributes electrical connectors and cable accessories. It enjoys a leadership position in Italy and significant market shares in the rest of Europe. Cembre is one of the world’s leading manufacturers of tools (mechanical, pneumatic and hydraulic) for the installation of connectors and the shearing of cables. The products it has developed for connection to the rail and for other railway applications are used by the main companies in this sector round the world.</w:t>
      </w:r>
    </w:p>
    <w:p w:rsidR="00B04C31" w:rsidRDefault="00B04C31" w:rsidP="00B04C31">
      <w:pPr>
        <w:pStyle w:val="Corpodeltesto2"/>
      </w:pPr>
      <w:r>
        <w:t>Cembre owes its success to an insistence on innovative, high-quality products, a broad and thorough collection, and an extensive distribution network both in Italy and abroad.</w:t>
      </w:r>
    </w:p>
    <w:p w:rsidR="00B04C31" w:rsidRDefault="00B04C31" w:rsidP="00B04C31">
      <w:pPr>
        <w:pStyle w:val="Corpodeltesto2"/>
      </w:pPr>
      <w:r>
        <w:t>Founded in Brescia in 1969, the Cembre Group is now a fully-fledged international force. Along with the parent company in Brescia it has five subsidiaries: four trading companies (in Germany, France, Spain and the United States) and a manufacturing and trading subsidiary (Cembre Ltd, with registered office in Birmingham), for a total of 877 employees (data updated as at September 30, 2023). Since 1990, its products have been certified by Lloyd’s Register Quality Assurance for the design and production of accessories for cables, electrical connectors and tools for their installation.</w:t>
      </w:r>
    </w:p>
    <w:p w:rsidR="00B04C31" w:rsidRDefault="00B04C31" w:rsidP="00B04C31">
      <w:pPr>
        <w:jc w:val="both"/>
        <w:rPr>
          <w:i/>
        </w:rPr>
      </w:pPr>
      <w:r>
        <w:rPr>
          <w:i/>
        </w:rPr>
        <w:t xml:space="preserve">Cembre has been listed on the Italian Stock Exchange since December 15, 1997, and on the STAR section since September 24, 2001. </w:t>
      </w:r>
    </w:p>
    <w:p w:rsidR="00B04C31" w:rsidRDefault="00B04C31" w:rsidP="00B04C31">
      <w:pPr>
        <w:jc w:val="both"/>
        <w:rPr>
          <w:i/>
        </w:rPr>
      </w:pPr>
    </w:p>
    <w:p w:rsidR="00B04C31" w:rsidRPr="00C44A2C" w:rsidRDefault="00B04C31" w:rsidP="00B04C31">
      <w:pPr>
        <w:jc w:val="both"/>
        <w:rPr>
          <w:u w:val="single"/>
          <w:lang w:val="it-IT"/>
        </w:rPr>
      </w:pPr>
      <w:proofErr w:type="spellStart"/>
      <w:r w:rsidRPr="00C44A2C">
        <w:rPr>
          <w:u w:val="single"/>
          <w:lang w:val="it-IT"/>
        </w:rPr>
        <w:lastRenderedPageBreak/>
        <w:t>Contacts</w:t>
      </w:r>
      <w:proofErr w:type="spellEnd"/>
      <w:r w:rsidRPr="00C44A2C">
        <w:rPr>
          <w:u w:val="single"/>
          <w:lang w:val="it-IT"/>
        </w:rPr>
        <w:t>:</w:t>
      </w:r>
    </w:p>
    <w:p w:rsidR="00B04C31" w:rsidRPr="00C44A2C" w:rsidRDefault="00B04C31" w:rsidP="00B04C31">
      <w:pPr>
        <w:rPr>
          <w:i/>
          <w:iCs/>
          <w:lang w:val="it-IT"/>
        </w:rPr>
      </w:pPr>
    </w:p>
    <w:p w:rsidR="00B04C31" w:rsidRPr="009D0D89" w:rsidRDefault="00B04C31" w:rsidP="00B04C31">
      <w:pPr>
        <w:rPr>
          <w:i/>
          <w:iCs/>
        </w:rPr>
      </w:pPr>
      <w:r w:rsidRPr="00C44A2C">
        <w:rPr>
          <w:i/>
          <w:lang w:val="it-IT"/>
        </w:rPr>
        <w:t>Claudio Bornati (Cembre S.p.A.)</w:t>
      </w:r>
      <w:r w:rsidRPr="00C44A2C">
        <w:rPr>
          <w:i/>
          <w:lang w:val="it-IT"/>
        </w:rPr>
        <w:tab/>
      </w:r>
      <w:r>
        <w:rPr>
          <w:i/>
        </w:rPr>
        <w:t xml:space="preserve">030/36921    </w:t>
      </w:r>
      <w:hyperlink r:id="rId7" w:history="1">
        <w:r>
          <w:rPr>
            <w:rStyle w:val="Collegamentoipertestuale"/>
            <w:i/>
          </w:rPr>
          <w:t>claudio.bornati@cembre.com</w:t>
        </w:r>
      </w:hyperlink>
    </w:p>
    <w:p w:rsidR="00B04C31" w:rsidRDefault="00B04C31" w:rsidP="00B04C31">
      <w:pPr>
        <w:jc w:val="both"/>
      </w:pPr>
      <w:r>
        <w:t xml:space="preserve">Further information is available at Cembre’s institutional website </w:t>
      </w:r>
      <w:hyperlink r:id="rId8" w:history="1">
        <w:r>
          <w:rPr>
            <w:rStyle w:val="Collegamentoipertestuale"/>
          </w:rPr>
          <w:t>www.cembre.com</w:t>
        </w:r>
      </w:hyperlink>
      <w:r>
        <w:t>in the Investor Relations section.</w:t>
      </w:r>
    </w:p>
    <w:p w:rsidR="00B04C31" w:rsidRDefault="00B04C31" w:rsidP="00B04C31"/>
    <w:p w:rsidR="00B04C31" w:rsidRPr="00122F1B" w:rsidRDefault="00B04C31" w:rsidP="00B04C31">
      <w:pPr>
        <w:autoSpaceDE w:val="0"/>
        <w:autoSpaceDN w:val="0"/>
        <w:adjustRightInd w:val="0"/>
        <w:jc w:val="both"/>
      </w:pPr>
      <w:r>
        <w:rPr>
          <w:b/>
        </w:rPr>
        <w:t>The manager responsible for preparing the Company’s financial reports, Claudio Bornati, declares, pursuant to paragraph 2 of Article 154 bis of the Consolidated Law on Finance, that the accounting information contained in this press release corresponds to the document results, books and accounting records.</w:t>
      </w:r>
    </w:p>
    <w:p w:rsidR="00B04C31" w:rsidRDefault="00B04C31" w:rsidP="00B04C31"/>
    <w:p w:rsidR="00B04C31" w:rsidRDefault="006F4C25" w:rsidP="00B04C31">
      <w:pPr>
        <w:jc w:val="both"/>
        <w:rPr>
          <w:b/>
          <w:bCs/>
          <w:szCs w:val="20"/>
        </w:rPr>
      </w:pPr>
      <w:r>
        <w:rPr>
          <w:b/>
        </w:rPr>
        <w:t>Consolidated financial statements relating to the Interim report on operations as at September 30, 2023 attached.</w:t>
      </w:r>
    </w:p>
    <w:p w:rsidR="006F4C25" w:rsidRDefault="006F4C25" w:rsidP="00B04C31">
      <w:pPr>
        <w:jc w:val="both"/>
        <w:rPr>
          <w:bCs/>
          <w:szCs w:val="20"/>
        </w:rPr>
      </w:pPr>
    </w:p>
    <w:p w:rsidR="00B04C31" w:rsidRDefault="00B04C31" w:rsidP="00B04C31">
      <w:pPr>
        <w:jc w:val="both"/>
      </w:pPr>
      <w:r>
        <w:t>In this press release, use is made of certain alternative performance indicators that are not envisaged in IFRS-EU accounting standards, and whose significance and content are illustrated below, in line with the ESMA/2015/1415 recommendations published on October 5, 2015:</w:t>
      </w:r>
    </w:p>
    <w:p w:rsidR="00B04C31" w:rsidRDefault="00B04C31" w:rsidP="00B04C31">
      <w:pPr>
        <w:jc w:val="both"/>
      </w:pPr>
    </w:p>
    <w:p w:rsidR="00B04C31" w:rsidRPr="00DC0623" w:rsidRDefault="00B04C31" w:rsidP="00B04C31">
      <w:pPr>
        <w:tabs>
          <w:tab w:val="right" w:pos="5387"/>
          <w:tab w:val="left" w:pos="7513"/>
        </w:tabs>
        <w:jc w:val="both"/>
      </w:pPr>
      <w:r>
        <w:rPr>
          <w:i/>
          <w:u w:val="single"/>
        </w:rPr>
        <w:t>Gross Operating Result (EBITDA)</w:t>
      </w:r>
      <w:r>
        <w:t>: defined as the difference between sales revenues and costs for materials, of services received, and the net balance of operating income and charges. It represents the profit achieved before amortisation, cash flows and taxes.</w:t>
      </w:r>
    </w:p>
    <w:p w:rsidR="00B04C31" w:rsidRPr="00DC0623" w:rsidRDefault="00B04C31" w:rsidP="00B04C31">
      <w:pPr>
        <w:tabs>
          <w:tab w:val="right" w:pos="5387"/>
          <w:tab w:val="left" w:pos="7513"/>
        </w:tabs>
        <w:jc w:val="both"/>
      </w:pPr>
      <w:r>
        <w:rPr>
          <w:i/>
          <w:u w:val="single"/>
        </w:rPr>
        <w:t>Operating Result (EBIT)</w:t>
      </w:r>
      <w:r>
        <w:rPr>
          <w:i/>
        </w:rPr>
        <w:t xml:space="preserve">: </w:t>
      </w:r>
      <w:r>
        <w:t>defined as the difference between the Gross Operating Result and the value of amortization/impairment. It represents the profit before cash flows and taxes.</w:t>
      </w:r>
    </w:p>
    <w:p w:rsidR="0044040C" w:rsidRPr="0044040C" w:rsidRDefault="00B04C31" w:rsidP="0044040C">
      <w:pPr>
        <w:rPr>
          <w:rFonts w:ascii="Century Gothic" w:hAnsi="Century Gothic"/>
        </w:rPr>
      </w:pPr>
      <w:r>
        <w:rPr>
          <w:i/>
          <w:u w:val="single"/>
        </w:rPr>
        <w:lastRenderedPageBreak/>
        <w:t>Net Financial Position</w:t>
      </w:r>
      <w:r>
        <w:rPr>
          <w:i/>
        </w:rPr>
        <w:t xml:space="preserve">: </w:t>
      </w:r>
      <w:r>
        <w:t>represents the algebraic sum of cash and cash equivalents, financial receivables and current and non-current financial debt.</w:t>
      </w:r>
    </w:p>
    <w:p w:rsidR="0044040C" w:rsidRPr="0044040C" w:rsidRDefault="0044040C" w:rsidP="0044040C">
      <w:pPr>
        <w:rPr>
          <w:rFonts w:ascii="Century Gothic" w:hAnsi="Century Gothic"/>
        </w:rPr>
      </w:pPr>
    </w:p>
    <w:p w:rsidR="0044040C" w:rsidRPr="0044040C" w:rsidRDefault="00107BCD" w:rsidP="002F293A">
      <w:pPr>
        <w:jc w:val="both"/>
        <w:rPr>
          <w:rFonts w:ascii="Century Gothic" w:hAnsi="Century Gothic"/>
        </w:rPr>
      </w:pPr>
      <w:r>
        <w:t>This Interim Report on Operations has not been audited.</w:t>
      </w:r>
    </w:p>
    <w:sectPr w:rsidR="0044040C" w:rsidRPr="0044040C" w:rsidSect="00DC55CE">
      <w:headerReference w:type="default" r:id="rId9"/>
      <w:headerReference w:type="first" r:id="rId10"/>
      <w:footerReference w:type="first" r:id="rId11"/>
      <w:pgSz w:w="11906" w:h="16838" w:code="9"/>
      <w:pgMar w:top="2552" w:right="1134" w:bottom="1701"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0163" w:rsidRDefault="00250163" w:rsidP="00BC70C6">
      <w:r>
        <w:separator/>
      </w:r>
    </w:p>
  </w:endnote>
  <w:endnote w:type="continuationSeparator" w:id="0">
    <w:p w:rsidR="00250163" w:rsidRDefault="00250163" w:rsidP="00BC70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neva">
    <w:altName w:val="Arial"/>
    <w:charset w:val="00"/>
    <w:family w:val="auto"/>
    <w:pitch w:val="variable"/>
    <w:sig w:usb0="E00002FF" w:usb1="5200205F" w:usb2="00A0C000" w:usb3="00000000" w:csb0="0000019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70C6" w:rsidRDefault="004D0770" w:rsidP="003A7581">
    <w:pPr>
      <w:pStyle w:val="Pidipagina"/>
      <w:jc w:val="center"/>
    </w:pPr>
    <w:r>
      <w:rPr>
        <w:noProof/>
        <w:lang w:val="it-IT"/>
      </w:rPr>
      <w:drawing>
        <wp:anchor distT="0" distB="0" distL="114300" distR="114300" simplePos="0" relativeHeight="251674624" behindDoc="0" locked="0" layoutInCell="1" allowOverlap="1">
          <wp:simplePos x="0" y="0"/>
          <wp:positionH relativeFrom="margin">
            <wp:posOffset>-711835</wp:posOffset>
          </wp:positionH>
          <wp:positionV relativeFrom="margin">
            <wp:posOffset>8096250</wp:posOffset>
          </wp:positionV>
          <wp:extent cx="7560000" cy="950687"/>
          <wp:effectExtent l="0" t="0" r="3175" b="1905"/>
          <wp:wrapSquare wrapText="bothSides"/>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MB_letterhead_IT_202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950687"/>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0163" w:rsidRDefault="00250163" w:rsidP="00BC70C6">
      <w:r>
        <w:separator/>
      </w:r>
    </w:p>
  </w:footnote>
  <w:footnote w:type="continuationSeparator" w:id="0">
    <w:p w:rsidR="00250163" w:rsidRDefault="00250163" w:rsidP="00BC70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61EE" w:rsidRDefault="00A94F70">
    <w:pPr>
      <w:pStyle w:val="Intestazione"/>
    </w:pPr>
    <w:r>
      <w:rPr>
        <w:noProof/>
        <w:lang w:val="it-IT"/>
      </w:rPr>
      <w:drawing>
        <wp:anchor distT="0" distB="0" distL="114300" distR="114300" simplePos="0" relativeHeight="251671552" behindDoc="0" locked="0" layoutInCell="1" allowOverlap="1">
          <wp:simplePos x="0" y="0"/>
          <wp:positionH relativeFrom="margin">
            <wp:posOffset>-721360</wp:posOffset>
          </wp:positionH>
          <wp:positionV relativeFrom="margin">
            <wp:posOffset>-1599565</wp:posOffset>
          </wp:positionV>
          <wp:extent cx="7560000" cy="1402498"/>
          <wp:effectExtent l="0" t="0" r="3175" b="7620"/>
          <wp:wrapSquare wrapText="bothSides"/>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MB_letterhead_T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402498"/>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70C6" w:rsidRDefault="00A94F70" w:rsidP="00BC70C6">
    <w:pPr>
      <w:pStyle w:val="Intestazione"/>
      <w:jc w:val="center"/>
    </w:pPr>
    <w:r>
      <w:rPr>
        <w:noProof/>
        <w:lang w:val="it-IT"/>
      </w:rPr>
      <w:drawing>
        <wp:anchor distT="0" distB="0" distL="114300" distR="114300" simplePos="0" relativeHeight="251673600" behindDoc="0" locked="0" layoutInCell="1" allowOverlap="1" wp14:anchorId="301A69F0" wp14:editId="005ED9C8">
          <wp:simplePos x="0" y="0"/>
          <wp:positionH relativeFrom="margin">
            <wp:posOffset>-740410</wp:posOffset>
          </wp:positionH>
          <wp:positionV relativeFrom="margin">
            <wp:posOffset>-1601470</wp:posOffset>
          </wp:positionV>
          <wp:extent cx="7560000" cy="1402498"/>
          <wp:effectExtent l="0" t="0" r="3175" b="7620"/>
          <wp:wrapSquare wrapText="bothSides"/>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MB_letterhead_T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402498"/>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5D5FF5"/>
    <w:multiLevelType w:val="hybridMultilevel"/>
    <w:tmpl w:val="F0385ABA"/>
    <w:lvl w:ilvl="0" w:tplc="9C865A70">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34A29C2"/>
    <w:multiLevelType w:val="hybridMultilevel"/>
    <w:tmpl w:val="6BFE4B5A"/>
    <w:lvl w:ilvl="0" w:tplc="F1A01F3E">
      <w:start w:val="1"/>
      <w:numFmt w:val="bullet"/>
      <w:lvlText w:val=""/>
      <w:lvlJc w:val="left"/>
      <w:pPr>
        <w:ind w:left="2704" w:hanging="360"/>
      </w:pPr>
      <w:rPr>
        <w:rFonts w:ascii="Symbol" w:hAnsi="Symbol" w:hint="default"/>
        <w:color w:val="auto"/>
      </w:rPr>
    </w:lvl>
    <w:lvl w:ilvl="1" w:tplc="04100003" w:tentative="1">
      <w:start w:val="1"/>
      <w:numFmt w:val="bullet"/>
      <w:lvlText w:val="o"/>
      <w:lvlJc w:val="left"/>
      <w:pPr>
        <w:ind w:left="3500" w:hanging="360"/>
      </w:pPr>
      <w:rPr>
        <w:rFonts w:ascii="Courier New" w:hAnsi="Courier New" w:cs="Courier New" w:hint="default"/>
      </w:rPr>
    </w:lvl>
    <w:lvl w:ilvl="2" w:tplc="04100005" w:tentative="1">
      <w:start w:val="1"/>
      <w:numFmt w:val="bullet"/>
      <w:lvlText w:val=""/>
      <w:lvlJc w:val="left"/>
      <w:pPr>
        <w:ind w:left="4220" w:hanging="360"/>
      </w:pPr>
      <w:rPr>
        <w:rFonts w:ascii="Wingdings" w:hAnsi="Wingdings" w:hint="default"/>
      </w:rPr>
    </w:lvl>
    <w:lvl w:ilvl="3" w:tplc="04100001" w:tentative="1">
      <w:start w:val="1"/>
      <w:numFmt w:val="bullet"/>
      <w:lvlText w:val=""/>
      <w:lvlJc w:val="left"/>
      <w:pPr>
        <w:ind w:left="4940" w:hanging="360"/>
      </w:pPr>
      <w:rPr>
        <w:rFonts w:ascii="Symbol" w:hAnsi="Symbol" w:hint="default"/>
      </w:rPr>
    </w:lvl>
    <w:lvl w:ilvl="4" w:tplc="04100003" w:tentative="1">
      <w:start w:val="1"/>
      <w:numFmt w:val="bullet"/>
      <w:lvlText w:val="o"/>
      <w:lvlJc w:val="left"/>
      <w:pPr>
        <w:ind w:left="5660" w:hanging="360"/>
      </w:pPr>
      <w:rPr>
        <w:rFonts w:ascii="Courier New" w:hAnsi="Courier New" w:cs="Courier New" w:hint="default"/>
      </w:rPr>
    </w:lvl>
    <w:lvl w:ilvl="5" w:tplc="04100005" w:tentative="1">
      <w:start w:val="1"/>
      <w:numFmt w:val="bullet"/>
      <w:lvlText w:val=""/>
      <w:lvlJc w:val="left"/>
      <w:pPr>
        <w:ind w:left="6380" w:hanging="360"/>
      </w:pPr>
      <w:rPr>
        <w:rFonts w:ascii="Wingdings" w:hAnsi="Wingdings" w:hint="default"/>
      </w:rPr>
    </w:lvl>
    <w:lvl w:ilvl="6" w:tplc="04100001" w:tentative="1">
      <w:start w:val="1"/>
      <w:numFmt w:val="bullet"/>
      <w:lvlText w:val=""/>
      <w:lvlJc w:val="left"/>
      <w:pPr>
        <w:ind w:left="7100" w:hanging="360"/>
      </w:pPr>
      <w:rPr>
        <w:rFonts w:ascii="Symbol" w:hAnsi="Symbol" w:hint="default"/>
      </w:rPr>
    </w:lvl>
    <w:lvl w:ilvl="7" w:tplc="04100003" w:tentative="1">
      <w:start w:val="1"/>
      <w:numFmt w:val="bullet"/>
      <w:lvlText w:val="o"/>
      <w:lvlJc w:val="left"/>
      <w:pPr>
        <w:ind w:left="7820" w:hanging="360"/>
      </w:pPr>
      <w:rPr>
        <w:rFonts w:ascii="Courier New" w:hAnsi="Courier New" w:cs="Courier New" w:hint="default"/>
      </w:rPr>
    </w:lvl>
    <w:lvl w:ilvl="8" w:tplc="04100005" w:tentative="1">
      <w:start w:val="1"/>
      <w:numFmt w:val="bullet"/>
      <w:lvlText w:val=""/>
      <w:lvlJc w:val="left"/>
      <w:pPr>
        <w:ind w:left="85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hyphenationZone w:val="283"/>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4C31"/>
    <w:rsid w:val="000637B3"/>
    <w:rsid w:val="00107BCD"/>
    <w:rsid w:val="0011429E"/>
    <w:rsid w:val="001422CB"/>
    <w:rsid w:val="001C7C82"/>
    <w:rsid w:val="001C7E08"/>
    <w:rsid w:val="001D077E"/>
    <w:rsid w:val="001F0EDA"/>
    <w:rsid w:val="00216A83"/>
    <w:rsid w:val="00246643"/>
    <w:rsid w:val="00250163"/>
    <w:rsid w:val="0026562A"/>
    <w:rsid w:val="002F293A"/>
    <w:rsid w:val="002F44C0"/>
    <w:rsid w:val="00370FC9"/>
    <w:rsid w:val="00394248"/>
    <w:rsid w:val="003A7581"/>
    <w:rsid w:val="003C56E0"/>
    <w:rsid w:val="0044040C"/>
    <w:rsid w:val="00451EE0"/>
    <w:rsid w:val="00496DF2"/>
    <w:rsid w:val="004A2E9F"/>
    <w:rsid w:val="004A38F5"/>
    <w:rsid w:val="004A7D47"/>
    <w:rsid w:val="004B00D0"/>
    <w:rsid w:val="004D0770"/>
    <w:rsid w:val="004E1669"/>
    <w:rsid w:val="004E4DB0"/>
    <w:rsid w:val="004F4071"/>
    <w:rsid w:val="0055340A"/>
    <w:rsid w:val="00566B9A"/>
    <w:rsid w:val="005758AE"/>
    <w:rsid w:val="00576A1C"/>
    <w:rsid w:val="005920F5"/>
    <w:rsid w:val="005F75B2"/>
    <w:rsid w:val="006A0DE7"/>
    <w:rsid w:val="006F4C25"/>
    <w:rsid w:val="00701A85"/>
    <w:rsid w:val="007036E9"/>
    <w:rsid w:val="00714305"/>
    <w:rsid w:val="00721322"/>
    <w:rsid w:val="00725366"/>
    <w:rsid w:val="00726FEE"/>
    <w:rsid w:val="00757FF7"/>
    <w:rsid w:val="007604B6"/>
    <w:rsid w:val="00784264"/>
    <w:rsid w:val="007A2D6C"/>
    <w:rsid w:val="007D10E6"/>
    <w:rsid w:val="00826432"/>
    <w:rsid w:val="009104A7"/>
    <w:rsid w:val="00914EA3"/>
    <w:rsid w:val="0099030A"/>
    <w:rsid w:val="009A2CB6"/>
    <w:rsid w:val="009B316B"/>
    <w:rsid w:val="00A0032A"/>
    <w:rsid w:val="00A127A7"/>
    <w:rsid w:val="00A15753"/>
    <w:rsid w:val="00A461EE"/>
    <w:rsid w:val="00A47BDF"/>
    <w:rsid w:val="00A94F70"/>
    <w:rsid w:val="00B04C31"/>
    <w:rsid w:val="00B247FF"/>
    <w:rsid w:val="00B41E5D"/>
    <w:rsid w:val="00B67DB5"/>
    <w:rsid w:val="00B7164D"/>
    <w:rsid w:val="00B74D9B"/>
    <w:rsid w:val="00BC292E"/>
    <w:rsid w:val="00BC70C6"/>
    <w:rsid w:val="00BE4322"/>
    <w:rsid w:val="00BF28E0"/>
    <w:rsid w:val="00BF5211"/>
    <w:rsid w:val="00C44A2C"/>
    <w:rsid w:val="00C67207"/>
    <w:rsid w:val="00C76DDD"/>
    <w:rsid w:val="00CA1FB0"/>
    <w:rsid w:val="00D14255"/>
    <w:rsid w:val="00D26C3E"/>
    <w:rsid w:val="00DB714C"/>
    <w:rsid w:val="00DC1FBC"/>
    <w:rsid w:val="00DC55CE"/>
    <w:rsid w:val="00DC72EC"/>
    <w:rsid w:val="00DE2584"/>
    <w:rsid w:val="00E16FBC"/>
    <w:rsid w:val="00E40874"/>
    <w:rsid w:val="00E60F17"/>
    <w:rsid w:val="00E728FD"/>
    <w:rsid w:val="00E95F3A"/>
    <w:rsid w:val="00EB21BD"/>
    <w:rsid w:val="00EC504A"/>
    <w:rsid w:val="00EF6F64"/>
    <w:rsid w:val="00F23C50"/>
    <w:rsid w:val="00F353A1"/>
    <w:rsid w:val="00F73D6C"/>
    <w:rsid w:val="00FB1650"/>
    <w:rsid w:val="00FB4404"/>
    <w:rsid w:val="00FC274B"/>
    <w:rsid w:val="00FF33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5:chartTrackingRefBased/>
  <w15:docId w15:val="{893AC07A-C2D2-45D5-918D-1208E000C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B04C31"/>
    <w:pPr>
      <w:spacing w:after="0" w:line="240" w:lineRule="auto"/>
    </w:pPr>
    <w:rPr>
      <w:rFonts w:ascii="Times New Roman" w:eastAsia="Times New Roman" w:hAnsi="Times New Roman" w:cs="Times New Roman"/>
      <w:sz w:val="24"/>
      <w:szCs w:val="24"/>
      <w:lang w:eastAsia="it-IT"/>
    </w:rPr>
  </w:style>
  <w:style w:type="paragraph" w:styleId="Titolo1">
    <w:name w:val="heading 1"/>
    <w:basedOn w:val="Normale"/>
    <w:next w:val="Normale"/>
    <w:link w:val="Titolo1Carattere"/>
    <w:qFormat/>
    <w:rsid w:val="00B04C31"/>
    <w:pPr>
      <w:keepNext/>
      <w:jc w:val="center"/>
      <w:outlineLvl w:val="0"/>
    </w:pPr>
    <w:rPr>
      <w:b/>
      <w:bCs/>
    </w:rPr>
  </w:style>
  <w:style w:type="paragraph" w:styleId="Titolo4">
    <w:name w:val="heading 4"/>
    <w:basedOn w:val="Normale"/>
    <w:next w:val="Normale"/>
    <w:link w:val="Titolo4Carattere"/>
    <w:qFormat/>
    <w:rsid w:val="00B04C31"/>
    <w:pPr>
      <w:keepNext/>
      <w:jc w:val="both"/>
      <w:outlineLvl w:val="3"/>
    </w:pPr>
    <w:rPr>
      <w:b/>
      <w:bCs/>
      <w:u w:val="single"/>
    </w:rPr>
  </w:style>
  <w:style w:type="paragraph" w:styleId="Titolo5">
    <w:name w:val="heading 5"/>
    <w:basedOn w:val="Normale"/>
    <w:next w:val="Normale"/>
    <w:link w:val="Titolo5Carattere"/>
    <w:qFormat/>
    <w:rsid w:val="00B04C31"/>
    <w:pPr>
      <w:keepNext/>
      <w:outlineLvl w:val="4"/>
    </w:pPr>
    <w:rPr>
      <w:rFonts w:ascii="Geneva" w:eastAsia="Arial Unicode MS" w:hAnsi="Geneva" w:cs="Arial Unicode MS"/>
      <w:b/>
      <w:bCs/>
      <w:sz w:val="20"/>
      <w:szCs w:val="20"/>
      <w:u w:val="singl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BC70C6"/>
    <w:pPr>
      <w:tabs>
        <w:tab w:val="center" w:pos="4680"/>
        <w:tab w:val="right" w:pos="9360"/>
      </w:tabs>
    </w:pPr>
  </w:style>
  <w:style w:type="character" w:customStyle="1" w:styleId="IntestazioneCarattere">
    <w:name w:val="Intestazione Carattere"/>
    <w:basedOn w:val="Carpredefinitoparagrafo"/>
    <w:link w:val="Intestazione"/>
    <w:uiPriority w:val="99"/>
    <w:rsid w:val="00BC70C6"/>
  </w:style>
  <w:style w:type="paragraph" w:styleId="Pidipagina">
    <w:name w:val="footer"/>
    <w:basedOn w:val="Normale"/>
    <w:link w:val="PidipaginaCarattere"/>
    <w:uiPriority w:val="99"/>
    <w:unhideWhenUsed/>
    <w:rsid w:val="00BC70C6"/>
    <w:pPr>
      <w:tabs>
        <w:tab w:val="center" w:pos="4680"/>
        <w:tab w:val="right" w:pos="9360"/>
      </w:tabs>
    </w:pPr>
  </w:style>
  <w:style w:type="character" w:customStyle="1" w:styleId="PidipaginaCarattere">
    <w:name w:val="Piè di pagina Carattere"/>
    <w:basedOn w:val="Carpredefinitoparagrafo"/>
    <w:link w:val="Pidipagina"/>
    <w:uiPriority w:val="99"/>
    <w:rsid w:val="00BC70C6"/>
  </w:style>
  <w:style w:type="table" w:styleId="Grigliatabella">
    <w:name w:val="Table Grid"/>
    <w:basedOn w:val="Tabellanormale"/>
    <w:uiPriority w:val="39"/>
    <w:rsid w:val="00B247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B247FF"/>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B247FF"/>
    <w:rPr>
      <w:rFonts w:ascii="Segoe UI" w:hAnsi="Segoe UI" w:cs="Segoe UI"/>
      <w:sz w:val="18"/>
      <w:szCs w:val="18"/>
      <w:lang w:val="en-GB"/>
    </w:rPr>
  </w:style>
  <w:style w:type="character" w:styleId="Enfasigrassetto">
    <w:name w:val="Strong"/>
    <w:basedOn w:val="Carpredefinitoparagrafo"/>
    <w:uiPriority w:val="22"/>
    <w:qFormat/>
    <w:rsid w:val="003C56E0"/>
    <w:rPr>
      <w:b/>
      <w:bCs/>
    </w:rPr>
  </w:style>
  <w:style w:type="character" w:customStyle="1" w:styleId="Titolo1Carattere">
    <w:name w:val="Titolo 1 Carattere"/>
    <w:basedOn w:val="Carpredefinitoparagrafo"/>
    <w:link w:val="Titolo1"/>
    <w:rsid w:val="00B04C31"/>
    <w:rPr>
      <w:rFonts w:ascii="Times New Roman" w:eastAsia="Times New Roman" w:hAnsi="Times New Roman" w:cs="Times New Roman"/>
      <w:b/>
      <w:bCs/>
      <w:sz w:val="24"/>
      <w:szCs w:val="24"/>
      <w:lang w:val="en-GB" w:eastAsia="it-IT"/>
    </w:rPr>
  </w:style>
  <w:style w:type="character" w:customStyle="1" w:styleId="Titolo4Carattere">
    <w:name w:val="Titolo 4 Carattere"/>
    <w:basedOn w:val="Carpredefinitoparagrafo"/>
    <w:link w:val="Titolo4"/>
    <w:rsid w:val="00B04C31"/>
    <w:rPr>
      <w:rFonts w:ascii="Times New Roman" w:eastAsia="Times New Roman" w:hAnsi="Times New Roman" w:cs="Times New Roman"/>
      <w:b/>
      <w:bCs/>
      <w:sz w:val="24"/>
      <w:szCs w:val="24"/>
      <w:u w:val="single"/>
      <w:lang w:val="en-GB" w:eastAsia="it-IT"/>
    </w:rPr>
  </w:style>
  <w:style w:type="character" w:customStyle="1" w:styleId="Titolo5Carattere">
    <w:name w:val="Titolo 5 Carattere"/>
    <w:basedOn w:val="Carpredefinitoparagrafo"/>
    <w:link w:val="Titolo5"/>
    <w:rsid w:val="00B04C31"/>
    <w:rPr>
      <w:rFonts w:ascii="Geneva" w:eastAsia="Arial Unicode MS" w:hAnsi="Geneva" w:cs="Arial Unicode MS"/>
      <w:b/>
      <w:bCs/>
      <w:sz w:val="20"/>
      <w:szCs w:val="20"/>
      <w:u w:val="single"/>
      <w:lang w:val="en-GB" w:eastAsia="it-IT"/>
    </w:rPr>
  </w:style>
  <w:style w:type="paragraph" w:customStyle="1" w:styleId="xl26">
    <w:name w:val="xl26"/>
    <w:basedOn w:val="Normale"/>
    <w:rsid w:val="00B04C31"/>
    <w:pPr>
      <w:spacing w:before="100" w:beforeAutospacing="1" w:after="100" w:afterAutospacing="1"/>
    </w:pPr>
    <w:rPr>
      <w:b/>
      <w:bCs/>
    </w:rPr>
  </w:style>
  <w:style w:type="paragraph" w:styleId="Corpodeltesto2">
    <w:name w:val="Body Text 2"/>
    <w:basedOn w:val="Normale"/>
    <w:link w:val="Corpodeltesto2Carattere"/>
    <w:rsid w:val="00B04C31"/>
    <w:pPr>
      <w:jc w:val="both"/>
    </w:pPr>
    <w:rPr>
      <w:i/>
    </w:rPr>
  </w:style>
  <w:style w:type="character" w:customStyle="1" w:styleId="Corpodeltesto2Carattere">
    <w:name w:val="Corpo del testo 2 Carattere"/>
    <w:basedOn w:val="Carpredefinitoparagrafo"/>
    <w:link w:val="Corpodeltesto2"/>
    <w:rsid w:val="00B04C31"/>
    <w:rPr>
      <w:rFonts w:ascii="Times New Roman" w:eastAsia="Times New Roman" w:hAnsi="Times New Roman" w:cs="Times New Roman"/>
      <w:i/>
      <w:sz w:val="24"/>
      <w:szCs w:val="24"/>
      <w:lang w:val="en-GB" w:eastAsia="it-IT"/>
    </w:rPr>
  </w:style>
  <w:style w:type="paragraph" w:styleId="Corpotesto">
    <w:name w:val="Body Text"/>
    <w:basedOn w:val="Normale"/>
    <w:link w:val="CorpotestoCarattere"/>
    <w:rsid w:val="00B04C31"/>
    <w:pPr>
      <w:jc w:val="both"/>
    </w:pPr>
  </w:style>
  <w:style w:type="character" w:customStyle="1" w:styleId="CorpotestoCarattere">
    <w:name w:val="Corpo testo Carattere"/>
    <w:basedOn w:val="Carpredefinitoparagrafo"/>
    <w:link w:val="Corpotesto"/>
    <w:rsid w:val="00B04C31"/>
    <w:rPr>
      <w:rFonts w:ascii="Times New Roman" w:eastAsia="Times New Roman" w:hAnsi="Times New Roman" w:cs="Times New Roman"/>
      <w:sz w:val="24"/>
      <w:szCs w:val="24"/>
      <w:lang w:val="en-GB" w:eastAsia="it-IT"/>
    </w:rPr>
  </w:style>
  <w:style w:type="character" w:styleId="Collegamentoipertestuale">
    <w:name w:val="Hyperlink"/>
    <w:rsid w:val="00B04C31"/>
    <w:rPr>
      <w:color w:val="0000FF"/>
      <w:u w:val="single"/>
    </w:rPr>
  </w:style>
  <w:style w:type="paragraph" w:customStyle="1" w:styleId="Normale1">
    <w:name w:val="Normale1"/>
    <w:basedOn w:val="Normale"/>
    <w:rsid w:val="00B04C31"/>
    <w:rPr>
      <w:rFonts w:ascii="New York" w:hAnsi="New York"/>
      <w:color w:val="FF0000"/>
      <w:szCs w:val="20"/>
    </w:rPr>
  </w:style>
  <w:style w:type="paragraph" w:customStyle="1" w:styleId="Normale11">
    <w:name w:val="Normale11"/>
    <w:basedOn w:val="Normale"/>
    <w:rsid w:val="00B04C31"/>
    <w:rPr>
      <w:rFonts w:ascii="New York" w:hAnsi="New York"/>
      <w:color w:val="FF000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embre.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claudio.bornati@cembre.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1185</Words>
  <Characters>6760</Characters>
  <Application>Microsoft Office Word</Application>
  <DocSecurity>4</DocSecurity>
  <Lines>56</Lines>
  <Paragraphs>15</Paragraphs>
  <ScaleCrop>false</ScaleCrop>
  <HeadingPairs>
    <vt:vector size="2" baseType="variant">
      <vt:variant>
        <vt:lpstr>Titolo</vt:lpstr>
      </vt:variant>
      <vt:variant>
        <vt:i4>1</vt:i4>
      </vt:variant>
    </vt:vector>
  </HeadingPairs>
  <TitlesOfParts>
    <vt:vector size="1" baseType="lpstr">
      <vt:lpstr/>
    </vt:vector>
  </TitlesOfParts>
  <Company>Cembre S.p.A.</Company>
  <LinksUpToDate>false</LinksUpToDate>
  <CharactersWithSpaces>7930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Bertella Marco</dc:creator>
  <cp:keywords/>
  <dc:description/>
  <cp:lastModifiedBy>Bornati Claudio</cp:lastModifiedBy>
  <cp:revision>2</cp:revision>
  <cp:lastPrinted>2022-11-14T08:54:00Z</cp:lastPrinted>
  <dcterms:created xsi:type="dcterms:W3CDTF">2023-11-13T09:03:00Z</dcterms:created>
  <dcterms:modified xsi:type="dcterms:W3CDTF">2023-11-13T09:03:00Z</dcterms:modified>
</cp:coreProperties>
</file>